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tudy-protocol-ep-agent-001"/>
    <w:p>
      <w:pPr>
        <w:pStyle w:val="Heading1"/>
      </w:pPr>
      <w:r>
        <w:t xml:space="preserve">STUDY PROTOCOL — EP-AGENT-001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v0.2-DRAFT (2026-10-15)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DESIGN ONLY — NOT AUTHORIZED FOR EXECUTION — NO RESULTS</w:t>
      </w:r>
    </w:p>
    <w:p>
      <w:pPr>
        <w:pStyle w:val="BodyText"/>
      </w:pPr>
      <w:r>
        <w:t xml:space="preserve">This protocol describes how the study</w:t>
      </w:r>
      <w:r>
        <w:t xml:space="preserve"> </w:t>
      </w:r>
      <w:r>
        <w:rPr>
          <w:bCs/>
          <w:b/>
        </w:rPr>
        <w:t xml:space="preserve">would</w:t>
      </w:r>
      <w:r>
        <w:t xml:space="preserve"> </w:t>
      </w:r>
      <w:r>
        <w:t xml:space="preserve">be executed after authorization. No step below beyond the</w:t>
      </w:r>
      <w:r>
        <w:t xml:space="preserve"> </w:t>
      </w:r>
      <w:r>
        <w:t xml:space="preserve">harness self-test (§0) may be performed until all conditions in §1 are satisfied.</w:t>
      </w:r>
    </w:p>
    <w:p>
      <w:r>
        <w:pict>
          <v:rect style="width:0;height:1.5pt" o:hralign="center" o:hrstd="t" o:hr="t"/>
        </w:pict>
      </w:r>
    </w:p>
    <w:bookmarkStart w:id="20" w:name="steps-permitted-before-authorization"/>
    <w:p>
      <w:pPr>
        <w:pStyle w:val="Heading2"/>
      </w:pPr>
      <w:r>
        <w:t xml:space="preserve">0. Steps permitted before authorization</w:t>
      </w:r>
    </w:p>
    <w:p>
      <w:pPr>
        <w:pStyle w:val="FirstParagraph"/>
      </w:pPr>
      <w:r>
        <w:t xml:space="preserve">Only harness checks that do not contact any ExecutionProof endpoint and produce no experimental data: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/home/ubuntu/EP-AGENT-001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scripts/validation/validate_fixtures.py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scripts/validation/validate_schemas.py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scripts/validation/harness_selftest.py</w:t>
      </w:r>
    </w:p>
    <w:p>
      <w:pPr>
        <w:pStyle w:val="FirstParagraph"/>
      </w:pPr>
      <w:r>
        <w:t xml:space="preserve">Their output is</w:t>
      </w:r>
      <w:r>
        <w:t xml:space="preserve"> </w:t>
      </w:r>
      <w:r>
        <w:rPr>
          <w:bCs/>
          <w:b/>
        </w:rPr>
        <w:t xml:space="preserve">harness self-test evidence only</w:t>
      </w:r>
      <w:r>
        <w:t xml:space="preserve"> </w:t>
      </w:r>
      <w:r>
        <w:t xml:space="preserve">— it shows that fixtures load and normalizers emit</w:t>
      </w:r>
      <w:r>
        <w:t xml:space="preserve"> </w:t>
      </w:r>
      <w:r>
        <w:t xml:space="preserve">schema-complete contracts. It is never reported as an experimental result.</w:t>
      </w:r>
    </w:p>
    <w:bookmarkEnd w:id="20"/>
    <w:bookmarkStart w:id="21" w:name="Xf9c793597a762bbb1e7792065dbd1441d00ac57"/>
    <w:p>
      <w:pPr>
        <w:pStyle w:val="Heading2"/>
      </w:pPr>
      <w:r>
        <w:t xml:space="preserve">1. Pre-execution checklist (all required; record evidence for each)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Preregistration freeze checklist items 1–14 complete (</w:t>
            </w:r>
            <w:r>
              <w:rPr>
                <w:rStyle w:val="VerbatimChar"/>
              </w:rPr>
              <w:t xml:space="preserve">PREREGISTRATION.md</w:t>
            </w:r>
            <w:r>
              <w:t xml:space="preserve"> </w:t>
            </w:r>
            <w:r>
              <w:t xml:space="preserve">§16)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checklist with evidence (written; no digital signature)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PREREGISTRATION.md</w:t>
            </w:r>
            <w:r>
              <w:t xml:space="preserve"> </w:t>
            </w:r>
            <w:r>
              <w:t xml:space="preserve">SHA-256 computed and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value +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MANIFEST.sha256</w:t>
            </w:r>
            <w:r>
              <w:t xml:space="preserve"> </w:t>
            </w:r>
            <w:r>
              <w:t xml:space="preserve">regenerated at freeze and verified (</w:t>
            </w:r>
            <w:r>
              <w:rPr>
                <w:rStyle w:val="VerbatimChar"/>
              </w:rPr>
              <w:t xml:space="preserve">sha256sum -c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10-question gate re-run on the frozen design; design-scope verdict GO or GO WITH BOUNDARY and Q8, Q9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refresh check: no new UD/UW brief received since the 2026-10-15 audit that changes scope (Rule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 log reconciled (</w:t>
            </w:r>
            <w:r>
              <w:rPr>
                <w:rStyle w:val="VerbatimChar"/>
              </w:rPr>
              <w:t xml:space="preserve">UNIVERSITY_EXPOSURE_LOG.md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Hone’s explicit execution authorization received in writing, citing the preregistration 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matches</w:t>
            </w:r>
            <w:r>
              <w:t xml:space="preserve"> </w:t>
            </w:r>
            <w:r>
              <w:rPr>
                <w:rStyle w:val="VerbatimChar"/>
              </w:rPr>
              <w:t xml:space="preserve">ENVIRONMENT.md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check_versions.py</w:t>
            </w:r>
            <w:r>
              <w:t xml:space="preserve"> </w:t>
            </w:r>
            <w:r>
              <w:t xml:space="preserve">all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ExecutionProof sandbox reachable at the pinned version; fixture policy loaded and its configuration hash matches the frozen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production credentials present in the environment; downstream targets are mock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dump (secrets-free)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proofrecords/</w:t>
            </w:r>
            <w:r>
              <w:t xml:space="preserve"> </w:t>
            </w:r>
            <w:r>
              <w:t xml:space="preserve">contain only their placeholder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listing</w:t>
            </w:r>
          </w:p>
        </w:tc>
      </w:tr>
    </w:tbl>
    <w:p>
      <w:pPr>
        <w:pStyle w:val="BodyText"/>
      </w:pPr>
      <w:r>
        <w:t xml:space="preserve">If any item fails, execution does not start. Record the failure as a pre-execution deviation (§10).</w:t>
      </w:r>
    </w:p>
    <w:bookmarkEnd w:id="21"/>
    <w:bookmarkStart w:id="22" w:name="Xec002ed48ca59158f04cbeffd466bf9e4579ec6"/>
    <w:p>
      <w:pPr>
        <w:pStyle w:val="Heading2"/>
      </w:pPr>
      <w:r>
        <w:t xml:space="preserve">2. Framework setup (per framework, each in its own clean virtual environment)</w:t>
      </w:r>
    </w:p>
    <w:p>
      <w:pPr>
        <w:pStyle w:val="FirstParagraph"/>
      </w:pPr>
      <w:r>
        <w:t xml:space="preserve">Each framework is installed in a separate venv to avoid cross-framework dependency interference and to make</w:t>
      </w:r>
      <w:r>
        <w:t xml:space="preserve"> </w:t>
      </w:r>
      <w:r>
        <w:t xml:space="preserve">dependency burden (S3) measurable.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Agents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.venv-openai_agents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.venv-langgraph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.venv-crewai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.venv-maf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openai-agents==0.24.0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langgraph==1.2.15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crewai==1.15.28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agent-framework==1.22.0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check_versions.py --framework openai_agents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 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 crewai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 maf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single-agent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, one function tool;</w:t>
            </w:r>
            <w:r>
              <w:t xml:space="preserve"> </w:t>
            </w:r>
            <w:r>
              <w:rPr>
                <w:bCs/>
                <w:b/>
              </w:rPr>
              <w:t xml:space="preserve">no handoffs</w:t>
            </w:r>
            <w:r>
              <w:t xml:space="preserve"> </w:t>
            </w:r>
            <w:r>
              <w:t xml:space="preserve">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graph with one agent node + one</w:t>
            </w:r>
            <w:r>
              <w:t xml:space="preserve"> </w:t>
            </w:r>
            <w:r>
              <w:rPr>
                <w:rStyle w:val="VerbatimChar"/>
              </w:rPr>
              <w:t xml:space="preserve">ToolNode</w:t>
            </w:r>
            <w:r>
              <w:t xml:space="preserve">; no sub-agents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allow_delegation=False</w:t>
            </w:r>
            <w:r>
              <w:t xml:space="preserve">), one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, one</w:t>
            </w:r>
            <w:r>
              <w:t xml:space="preserve"> </w:t>
            </w:r>
            <w:r>
              <w:rPr>
                <w:rStyle w:val="VerbatimChar"/>
              </w:rPr>
              <w:t xml:space="preserve">BaseTool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agent, one function tool, one</w:t>
            </w:r>
            <w:r>
              <w:t xml:space="preserve"> </w:t>
            </w:r>
            <w:r>
              <w:rPr>
                <w:rStyle w:val="VerbatimChar"/>
              </w:rPr>
              <w:t xml:space="preserve">FunctionMiddleware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invoked deterministically (forced tool choice or direct runner invocation) so that LLM variability does not affect which tool/arguments are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graph route to</w:t>
            </w:r>
            <w:r>
              <w:t xml:space="preserve"> </w:t>
            </w:r>
            <w:r>
              <w:rPr>
                <w:rStyle w:val="VerbatimChar"/>
              </w:rPr>
              <w:t xml:space="preserve">ToolNode</w:t>
            </w:r>
            <w:r>
              <w:t xml:space="preserve"> </w:t>
            </w:r>
            <w:r>
              <w:t xml:space="preserve">with fixed tool-call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tool invocation for the fixed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function invocation through middleware</w:t>
            </w:r>
          </w:p>
        </w:tc>
      </w:tr>
    </w:tbl>
    <w:p>
      <w:pPr>
        <w:pStyle w:val="BodyText"/>
      </w:pPr>
      <w:r>
        <w:t xml:space="preserve">Setup timings for S2 start at venv creation and stop at the first successful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response in that venv,</w:t>
      </w:r>
      <w:r>
        <w:t xml:space="preserve"> </w:t>
      </w:r>
      <w:r>
        <w:t xml:space="preserve">using a non-study smoke fixture (not B1–B5).</w:t>
      </w:r>
    </w:p>
    <w:p>
      <w:pPr>
        <w:pStyle w:val="BodyText"/>
      </w:pPr>
      <w:r>
        <w:rPr>
          <w:bCs/>
          <w:b/>
        </w:rPr>
        <w:t xml:space="preserve">Determinism rule.</w:t>
      </w:r>
      <w:r>
        <w:t xml:space="preserve"> </w:t>
      </w:r>
      <w:r>
        <w:t xml:space="preserve">Tool arguments are populated directly from the fixture, not generated by an LLM. Where a</w:t>
      </w:r>
      <w:r>
        <w:t xml:space="preserve"> </w:t>
      </w:r>
      <w:r>
        <w:t xml:space="preserve">framework requires a model in the loop, a deterministic stub model or forced tool choice is used and documented.</w:t>
      </w:r>
      <w:r>
        <w:t xml:space="preserve"> </w:t>
      </w:r>
      <w:r>
        <w:t xml:space="preserve">This isolates the integration path (the study object) from model behaviour (not studied).</w:t>
      </w:r>
    </w:p>
    <w:bookmarkEnd w:id="22"/>
    <w:bookmarkStart w:id="23" w:name="fixture-loading-procedure"/>
    <w:p>
      <w:pPr>
        <w:pStyle w:val="Heading2"/>
      </w:pPr>
      <w:r>
        <w:t xml:space="preserve">3. Fixture loading procedure</w:t>
      </w:r>
    </w:p>
    <w:p>
      <w:pPr>
        <w:numPr>
          <w:ilvl w:val="0"/>
          <w:numId w:val="1001"/>
        </w:numPr>
        <w:pStyle w:val="Compact"/>
      </w:pPr>
      <w:r>
        <w:t xml:space="preserve">Verify each fixture’s SHA-256 against the frozen values in</w:t>
      </w:r>
      <w:r>
        <w:t xml:space="preserve"> </w:t>
      </w:r>
      <w:r>
        <w:rPr>
          <w:rStyle w:val="VerbatimChar"/>
        </w:rPr>
        <w:t xml:space="preserve">MANIFEST.sha256</w:t>
      </w:r>
      <w:r>
        <w:t xml:space="preserve">. Any mismatch → abort (INCONCLUSIVE candidate: corrupted artifacts).</w:t>
      </w:r>
    </w:p>
    <w:p>
      <w:pPr>
        <w:numPr>
          <w:ilvl w:val="0"/>
          <w:numId w:val="1001"/>
        </w:numPr>
        <w:pStyle w:val="Compact"/>
      </w:pPr>
      <w:r>
        <w:t xml:space="preserve">Load fixture JSON; validate with</w:t>
      </w:r>
      <w:r>
        <w:t xml:space="preserve"> </w:t>
      </w:r>
      <w:r>
        <w:rPr>
          <w:rStyle w:val="VerbatimChar"/>
        </w:rPr>
        <w:t xml:space="preserve">validate_fixtures.py</w:t>
      </w:r>
      <w:r>
        <w:t xml:space="preserve"> </w:t>
      </w:r>
      <w:r>
        <w:t xml:space="preserve">logic.</w:t>
      </w:r>
    </w:p>
    <w:p>
      <w:pPr>
        <w:numPr>
          <w:ilvl w:val="0"/>
          <w:numId w:val="1001"/>
        </w:numPr>
        <w:pStyle w:val="Compact"/>
      </w:pPr>
      <w:r>
        <w:t xml:space="preserve">Load the fixture’s</w:t>
      </w:r>
      <w:r>
        <w:t xml:space="preserve"> </w:t>
      </w:r>
      <w:r>
        <w:rPr>
          <w:rStyle w:val="VerbatimChar"/>
        </w:rPr>
        <w:t xml:space="preserve">fixture_policy_context</w:t>
      </w:r>
      <w:r>
        <w:t xml:space="preserve"> </w:t>
      </w:r>
      <w:r>
        <w:t xml:space="preserve">into the ExecutionProof sandbox via the policy endpoints,</w:t>
      </w:r>
      <w:r>
        <w:t xml:space="preserve"> </w:t>
      </w:r>
      <w:r>
        <w:rPr>
          <w:bCs/>
          <w:b/>
        </w:rPr>
        <w:t xml:space="preserve">once</w:t>
      </w:r>
      <w:r>
        <w:t xml:space="preserve">, before any case runs; record the resulting configuration hash.</w:t>
      </w:r>
    </w:p>
    <w:p>
      <w:pPr>
        <w:numPr>
          <w:ilvl w:val="0"/>
          <w:numId w:val="1001"/>
        </w:numPr>
        <w:pStyle w:val="Compact"/>
      </w:pPr>
      <w:r>
        <w:t xml:space="preserve">Pass</w:t>
      </w:r>
      <w:r>
        <w:t xml:space="preserve"> </w:t>
      </w:r>
      <w:r>
        <w:rPr>
          <w:rStyle w:val="VerbatimChar"/>
        </w:rPr>
        <w:t xml:space="preserve">fixture.contract</w:t>
      </w:r>
      <w:r>
        <w:t xml:space="preserve"> </w:t>
      </w:r>
      <w:r>
        <w:t xml:space="preserve">fields to the adapter as framework-native tool arguments.</w:t>
      </w:r>
    </w:p>
    <w:p>
      <w:pPr>
        <w:numPr>
          <w:ilvl w:val="0"/>
          <w:numId w:val="1001"/>
        </w:numPr>
        <w:pStyle w:val="Compact"/>
      </w:pPr>
      <w:r>
        <w:t xml:space="preserve">The adapter’s normalizer produces the Request Contract; the harness stores the normalized contract verbatim before submission.</w:t>
      </w:r>
    </w:p>
    <w:bookmarkEnd w:id="23"/>
    <w:bookmarkStart w:id="24" w:name="case-execution-order"/>
    <w:p>
      <w:pPr>
        <w:pStyle w:val="Heading2"/>
      </w:pPr>
      <w:r>
        <w:t xml:space="preserve">4. Case execution order</w:t>
      </w:r>
    </w:p>
    <w:p>
      <w:pPr>
        <w:numPr>
          <w:ilvl w:val="0"/>
          <w:numId w:val="1002"/>
        </w:numPr>
        <w:pStyle w:val="Compact"/>
      </w:pPr>
      <w:r>
        <w:t xml:space="preserve">Framework order: randomized once at freeze with a recorded seed; the same order is used for every case.</w:t>
      </w:r>
    </w:p>
    <w:p>
      <w:pPr>
        <w:numPr>
          <w:ilvl w:val="0"/>
          <w:numId w:val="1002"/>
        </w:numPr>
        <w:pStyle w:val="Compact"/>
      </w:pPr>
      <w:r>
        <w:t xml:space="preserve">Case order within a framework: B1, B2, B3, B4, B5.</w:t>
      </w:r>
    </w:p>
    <w:p>
      <w:pPr>
        <w:numPr>
          <w:ilvl w:val="0"/>
          <w:numId w:val="1002"/>
        </w:numPr>
        <w:pStyle w:val="Compact"/>
      </w:pPr>
      <w:r>
        <w:t xml:space="preserve">Each cell (f, c) runs: 1 decision call (primary endpoints) → 5 warmup latency calls (discarded) → 30 measured latency calls.</w:t>
      </w:r>
    </w:p>
    <w:p>
      <w:pPr>
        <w:numPr>
          <w:ilvl w:val="0"/>
          <w:numId w:val="1002"/>
        </w:numPr>
        <w:pStyle w:val="Compact"/>
      </w:pPr>
      <w:r>
        <w:t xml:space="preserve">No cell is re-run except under §10 deviation rules. Every attempt is logged, including failed ones.</w:t>
      </w:r>
    </w:p>
    <w:bookmarkEnd w:id="24"/>
    <w:bookmarkStart w:id="25" w:name="Xa409bd767981487fae2755679772a334a61bdaa"/>
    <w:p>
      <w:pPr>
        <w:pStyle w:val="Heading2"/>
      </w:pPr>
      <w:r>
        <w:t xml:space="preserve">5. Data capture requirements (per decision call)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framework_version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/ installed package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fixture_sha256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normalized_contract</w:t>
            </w:r>
            <w:r>
              <w:t xml:space="preserve"> </w:t>
            </w:r>
            <w:r>
              <w:t xml:space="preserve">(full 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schema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verify_request_sent_at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verify_response_received_at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time.perf_counter_ns</w:t>
            </w:r>
            <w:r>
              <w:t xml:space="preserve"> </w:t>
            </w:r>
            <w:r>
              <w:t xml:space="preserve">+ UTC ISO 8601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http_status</w:t>
            </w:r>
            <w:r>
              <w:t xml:space="preserve">, raw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response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observed_verdict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proof_record_id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proof_record_resolves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/proof/{id}</w:t>
            </w:r>
            <w:r>
              <w:t xml:space="preserve"> </w:t>
            </w:r>
            <w:r>
              <w:t xml:space="preserve">GET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framework_native_result</w:t>
            </w:r>
            <w:r>
              <w:t xml:space="preserve"> </w:t>
            </w:r>
            <w:r>
              <w:t xml:space="preserve">(serialized)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runtime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verdict_in_native_result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proof_ref_in_native_result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string-equality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manual_intervention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(must be false for</w:t>
            </w:r>
            <w:r>
              <w:t xml:space="preserve"> </w:t>
            </w:r>
            <w:r>
              <w:rPr>
                <w:rStyle w:val="VerbatimChar"/>
              </w:rPr>
              <w:t xml:space="preserve">integration_complete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core_modification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(must be 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deviation_ids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</w:tr>
    </w:tbl>
    <w:p>
      <w:pPr>
        <w:pStyle w:val="BodyText"/>
      </w:pPr>
      <w:r>
        <w:t xml:space="preserve">Capture is append-only JSONL. Files are written only 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after authorization.</w:t>
      </w:r>
    </w:p>
    <w:bookmarkEnd w:id="25"/>
    <w:bookmarkStart w:id="26" w:name="proofrecord-capture-procedure"/>
    <w:p>
      <w:pPr>
        <w:pStyle w:val="Heading2"/>
      </w:pPr>
      <w:r>
        <w:t xml:space="preserve">6. ProofRecord capture procedure</w:t>
      </w:r>
    </w:p>
    <w:p>
      <w:pPr>
        <w:numPr>
          <w:ilvl w:val="0"/>
          <w:numId w:val="1003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proof_record_id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response.</w:t>
      </w:r>
    </w:p>
    <w:p>
      <w:pPr>
        <w:numPr>
          <w:ilvl w:val="0"/>
          <w:numId w:val="1003"/>
        </w:numPr>
        <w:pStyle w:val="Compact"/>
      </w:pPr>
      <w:r>
        <w:t xml:space="preserve">GET</w:t>
      </w:r>
      <w:r>
        <w:t xml:space="preserve"> </w:t>
      </w:r>
      <w:r>
        <w:rPr>
          <w:rStyle w:val="VerbatimChar"/>
        </w:rPr>
        <w:t xml:space="preserve">/proof/{id}</w:t>
      </w:r>
      <w:r>
        <w:t xml:space="preserve">; store the full response under</w:t>
      </w:r>
      <w:r>
        <w:t xml:space="preserve"> </w:t>
      </w:r>
      <w:r>
        <w:rPr>
          <w:rStyle w:val="VerbatimChar"/>
        </w:rPr>
        <w:t xml:space="preserve">proofrecords/&lt;framework&gt;/&lt;case&gt;.json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Record the SHA-256 of the stored body.</w:t>
      </w:r>
    </w:p>
    <w:p>
      <w:pPr>
        <w:numPr>
          <w:ilvl w:val="0"/>
          <w:numId w:val="1003"/>
        </w:numPr>
        <w:pStyle w:val="Compact"/>
      </w:pPr>
      <w:r>
        <w:t xml:space="preserve">Confirm the ProofRecord’s verdict field equals the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verdict and its request reference equals the submitted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Confirm the same</w:t>
      </w:r>
      <w:r>
        <w:t xml:space="preserve"> </w:t>
      </w:r>
      <w:r>
        <w:rPr>
          <w:rStyle w:val="VerbatimChar"/>
        </w:rPr>
        <w:t xml:space="preserve">proof_record_id</w:t>
      </w:r>
      <w:r>
        <w:t xml:space="preserve"> </w:t>
      </w:r>
      <w:r>
        <w:t xml:space="preserve">appears unchanged in the framework-native tool result.</w:t>
      </w:r>
    </w:p>
    <w:p>
      <w:pPr>
        <w:pStyle w:val="FirstParagraph"/>
      </w:pPr>
      <w:r>
        <w:t xml:space="preserve">No ProofRecord is modified, re-signed, or replayed. Integrity-attack testing is UD-reserved and is not performed.</w:t>
      </w:r>
    </w:p>
    <w:bookmarkEnd w:id="26"/>
    <w:bookmarkStart w:id="27" w:name="X5e5b325d7e05013c9e2b82eeebe6dd2326407e0"/>
    <w:p>
      <w:pPr>
        <w:pStyle w:val="Heading2"/>
      </w:pPr>
      <w:r>
        <w:t xml:space="preserve">7. Latency measurement protocol (RF internal measurement)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time.perf_counter_ns()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calls per cell, discarded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measured calls per cell (600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 S4 (normalization)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→ exit of</w:t>
            </w:r>
            <w:r>
              <w:t xml:space="preserve"> </w:t>
            </w:r>
            <w:r>
              <w:rPr>
                <w:rStyle w:val="VerbatimChar"/>
              </w:rPr>
              <w:t xml:space="preserve">normalize_to_request_contract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 S5 (adapter round trip)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receives framework tool invocation → verdict returned to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serial; no parallel calls; exactly one tool call per run (no single-agent parallel tool calls)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Inter-call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beyond natural loop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host, same session, no other heavy workloads; host spec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median, p95, min, max, raw values; optional bootstrap 95% CI for median (1,000 resamples, frozen seed)</w:t>
            </w:r>
          </w:p>
        </w:tc>
      </w:tr>
    </w:tbl>
    <w:p>
      <w:pPr>
        <w:pStyle w:val="BodyText"/>
      </w:pPr>
      <w:r>
        <w:t xml:space="preserve">Latency calls reuse the same fixture contents. Each call produces a fresh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requested_at</w:t>
      </w:r>
      <w:r>
        <w:t xml:space="preserve"> </w:t>
      </w:r>
      <w:r>
        <w:t xml:space="preserve">by normal operation; latency calls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replay test and their verdicts are recorded only</w:t>
      </w:r>
      <w:r>
        <w:t xml:space="preserve"> </w:t>
      </w:r>
      <w:r>
        <w:t xml:space="preserve">as a consistency check, not as additional primary-endpoint cells.</w:t>
      </w:r>
    </w:p>
    <w:bookmarkEnd w:id="27"/>
    <w:bookmarkStart w:id="28" w:name="data-preservation"/>
    <w:p>
      <w:pPr>
        <w:pStyle w:val="Heading2"/>
      </w:pPr>
      <w:r>
        <w:t xml:space="preserve">8. Data preservation</w:t>
      </w:r>
    </w:p>
    <w:p>
      <w:pPr>
        <w:numPr>
          <w:ilvl w:val="0"/>
          <w:numId w:val="1004"/>
        </w:numPr>
        <w:pStyle w:val="Compact"/>
      </w:pPr>
      <w:r>
        <w:t xml:space="preserve">All raw JSONL, ProofRecords, logs, environment dumps, and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 </w:t>
      </w:r>
      <w:r>
        <w:t xml:space="preserve">outputs are preserved.</w:t>
      </w:r>
    </w:p>
    <w:p>
      <w:pPr>
        <w:numPr>
          <w:ilvl w:val="0"/>
          <w:numId w:val="1004"/>
        </w:numPr>
        <w:pStyle w:val="Compact"/>
      </w:pPr>
      <w:r>
        <w:t xml:space="preserve">After the run, compute SHA-256 for every file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proofrecords/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results/RESULTS_MANIFEST.sha256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No file is deleted or edited after creation. Corrections are appended as new, dated records (Rule 11).</w:t>
      </w:r>
    </w:p>
    <w:p>
      <w:pPr>
        <w:numPr>
          <w:ilvl w:val="0"/>
          <w:numId w:val="1004"/>
        </w:numPr>
        <w:pStyle w:val="Compact"/>
      </w:pPr>
      <w:r>
        <w:t xml:space="preserve">A FAIL and any later remediation are preserved as two separate facts.</w:t>
      </w:r>
    </w:p>
    <w:bookmarkEnd w:id="28"/>
    <w:bookmarkStart w:id="29" w:name="mid-run-integrity"/>
    <w:p>
      <w:pPr>
        <w:pStyle w:val="Heading2"/>
      </w:pPr>
      <w:r>
        <w:t xml:space="preserve">9. Mid-run integrity</w:t>
      </w:r>
    </w:p>
    <w:p>
      <w:pPr>
        <w:numPr>
          <w:ilvl w:val="0"/>
          <w:numId w:val="1005"/>
        </w:numPr>
        <w:pStyle w:val="Compact"/>
      </w:pPr>
      <w:r>
        <w:t xml:space="preserve">If a framework crashes, record the traceback; do not patch the framework mid-run.</w:t>
      </w:r>
    </w:p>
    <w:p>
      <w:pPr>
        <w:numPr>
          <w:ilvl w:val="0"/>
          <w:numId w:val="1005"/>
        </w:numPr>
        <w:pStyle w:val="Compact"/>
      </w:pPr>
      <w:r>
        <w:t xml:space="preserve">If the ExecutionProof sandbox becomes unreachable, stop, record, and evaluate against the INCONCLUSIVE conditions in</w:t>
      </w:r>
      <w:r>
        <w:t xml:space="preserve"> </w:t>
      </w:r>
      <w:r>
        <w:rPr>
          <w:rStyle w:val="VerbatimChar"/>
        </w:rPr>
        <w:t xml:space="preserve">PASS_FAIL_RULES.md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No ExecutionProof core change is permitted during the run. If one appears necessary, stop: P5 = true is recorded.</w:t>
      </w:r>
    </w:p>
    <w:bookmarkEnd w:id="29"/>
    <w:bookmarkStart w:id="30" w:name="deviation-handling"/>
    <w:p>
      <w:pPr>
        <w:pStyle w:val="Heading2"/>
      </w:pPr>
      <w:r>
        <w:t xml:space="preserve">10. Deviation handling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Pre-execution (e.g., framework replacement, version bump)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amendment, new CHANGELOG entry, regenerated manifest, new preregistration SHA, gate re-run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During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with ID, timestamp, description, affected cells; do not alter classification rules; report in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Post-execution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preregistered analyses are confirmatory; anything else is labelled exploratory</w:t>
            </w:r>
          </w:p>
        </w:tc>
      </w:tr>
    </w:tbl>
    <w:bookmarkEnd w:id="30"/>
    <w:bookmarkStart w:id="31" w:name="post-execution-lockdown"/>
    <w:p>
      <w:pPr>
        <w:pStyle w:val="Heading2"/>
      </w:pPr>
      <w:r>
        <w:t xml:space="preserve">11. Post-execution lockdown</w:t>
      </w:r>
    </w:p>
    <w:p>
      <w:pPr>
        <w:numPr>
          <w:ilvl w:val="0"/>
          <w:numId w:val="1006"/>
        </w:numPr>
        <w:pStyle w:val="Compact"/>
      </w:pPr>
      <w:r>
        <w:t xml:space="preserve">Compute and record</w:t>
      </w:r>
      <w:r>
        <w:t xml:space="preserve"> </w:t>
      </w:r>
      <w:r>
        <w:rPr>
          <w:rStyle w:val="VerbatimChar"/>
        </w:rPr>
        <w:t xml:space="preserve">RESULTS_MANIFEST.sha256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Apply</w:t>
      </w:r>
      <w:r>
        <w:t xml:space="preserve"> </w:t>
      </w:r>
      <w:r>
        <w:rPr>
          <w:rStyle w:val="VerbatimChar"/>
        </w:rPr>
        <w:t xml:space="preserve">PASS_FAIL_RULES.md</w:t>
      </w:r>
      <w:r>
        <w:t xml:space="preserve"> </w:t>
      </w:r>
      <w:r>
        <w:t xml:space="preserve">mechanically; record the classification with the evidence for each endpoint.</w:t>
      </w:r>
    </w:p>
    <w:p>
      <w:pPr>
        <w:numPr>
          <w:ilvl w:val="0"/>
          <w:numId w:val="1006"/>
        </w:numPr>
        <w:pStyle w:val="Compact"/>
      </w:pPr>
      <w:r>
        <w:t xml:space="preserve">Tag the repository commit.</w:t>
      </w:r>
    </w:p>
    <w:p>
      <w:pPr>
        <w:numPr>
          <w:ilvl w:val="0"/>
          <w:numId w:val="1006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publish, archive to Zenodo, or share with university teams until Derek Hone gives a separate publication authorization.</w:t>
      </w:r>
    </w:p>
    <w:p>
      <w:pPr>
        <w:numPr>
          <w:ilvl w:val="0"/>
          <w:numId w:val="1006"/>
        </w:numPr>
        <w:pStyle w:val="Compact"/>
      </w:pPr>
      <w:r>
        <w:t xml:space="preserve">Before any university-facing sharing, add an entry to</w:t>
      </w:r>
      <w:r>
        <w:t xml:space="preserve"> </w:t>
      </w:r>
      <w:r>
        <w:rPr>
          <w:rStyle w:val="VerbatimChar"/>
        </w:rPr>
        <w:t xml:space="preserve">UNIVERSITY_EXPOSURE_LOG.md</w:t>
      </w:r>
      <w:r>
        <w:t xml:space="preserve">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2026-10-15T23:57:22Z</dcterms:created>
  <dcterms:modified xsi:type="dcterms:W3CDTF">2026-10-15T23:57:22Z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