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454-results"/>
    <w:p>
      <w:pPr>
        <w:pStyle w:val="Heading1"/>
      </w:pPr>
      <w:r>
        <w:t xml:space="preserve">ARK-454 Results</w:t>
      </w:r>
    </w:p>
    <w:bookmarkEnd w:id="20"/>
    <w:bookmarkStart w:id="29" w:name="X90a940a069ed75464ed9a1c65bf305e6d27c961"/>
    <w:p>
      <w:pPr>
        <w:pStyle w:val="Heading1"/>
      </w:pPr>
      <w:r>
        <w:t xml:space="preserve">Self-Approval and Circular Delegation Must Fail Closed</w:t>
      </w:r>
    </w:p>
    <w:p>
      <w:pPr>
        <w:pStyle w:val="FirstParagraph"/>
      </w:pPr>
      <w:r>
        <w:rPr>
          <w:bCs/>
          <w:b/>
        </w:rPr>
        <w:t xml:space="preserve">Verdict: PASS</w:t>
      </w:r>
      <w:r>
        <w:t xml:space="preserve"> </w:t>
      </w:r>
      <w:r>
        <w:rPr>
          <w:bCs/>
          <w:b/>
        </w:rPr>
        <w:t xml:space="preserve">Execution 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QPU, no cryptography)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Lock commit:</w:t>
      </w:r>
      <w:r>
        <w:t xml:space="preserve"> </w:t>
      </w:r>
      <w:r>
        <w:rPr>
          <w:rStyle w:val="VerbatimChar"/>
        </w:rPr>
        <w:t xml:space="preserve">ddaa795</w:t>
      </w:r>
      <w:r>
        <w:t xml:space="preserve"> </w:t>
      </w:r>
      <w:r>
        <w:t xml:space="preserve">(preregistration + code + MANIFEST hashed before execution)</w:t>
      </w:r>
    </w:p>
    <w:p>
      <w:r>
        <w:pict>
          <v:rect style="width:0;height:1.5pt" o:hralign="center" o:hrstd="t" o:hr="t"/>
        </w:pict>
      </w:r>
    </w:p>
    <w:bookmarkStart w:id="21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ARK-454 tested whether an independent authorization guard refuses to treat a</w:t>
      </w:r>
      <w:r>
        <w:t xml:space="preserve"> </w:t>
      </w:r>
      <w:r>
        <w:t xml:space="preserve">request as independently approved whenever the approving authority reduces —</w:t>
      </w:r>
      <w:r>
        <w:t xml:space="preserve"> </w:t>
      </w:r>
      <w:r>
        <w:t xml:space="preserve">directly or transitively — to the requester. Two independent guards, built from the</w:t>
      </w:r>
      <w:r>
        <w:t xml:space="preserve"> </w:t>
      </w:r>
      <w:r>
        <w:t xml:space="preserve">prose specification with no shared source, evaluated 800 modeled decision scenarios</w:t>
      </w:r>
      <w:r>
        <w:t xml:space="preserve"> </w:t>
      </w:r>
      <w:r>
        <w:t xml:space="preserve">across eight arms.</w:t>
      </w:r>
    </w:p>
    <w:p>
      <w:pPr>
        <w:pStyle w:val="BodyText"/>
      </w:pPr>
      <w:r>
        <w:t xml:space="preserve">The result is a clean</w:t>
      </w:r>
      <w:r>
        <w:t xml:space="preserve"> </w:t>
      </w:r>
      <w:r>
        <w:rPr>
          <w:bCs/>
          <w:b/>
        </w:rPr>
        <w:t xml:space="preserve">PASS</w:t>
      </w:r>
      <w:r>
        <w:t xml:space="preserve">. The guard ALLOWed 100% of genuinely independent</w:t>
      </w:r>
      <w:r>
        <w:t xml:space="preserve"> </w:t>
      </w:r>
      <w:r>
        <w:t xml:space="preserve">approvals and failed closed on 100% of self-approval, controlled-identity,</w:t>
      </w:r>
      <w:r>
        <w:t xml:space="preserve"> </w:t>
      </w:r>
      <w:r>
        <w:t xml:space="preserve">shared-controller, delegation-to-self, circular-delegation, and inherited</w:t>
      </w:r>
      <w:r>
        <w:t xml:space="preserve"> </w:t>
      </w:r>
      <w:r>
        <w:t xml:space="preserve">self-initiated-workflow scenarios. It correctly returned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(not ALLOW, not</w:t>
      </w:r>
      <w:r>
        <w:t xml:space="preserve"> </w:t>
      </w:r>
      <w:r>
        <w:t xml:space="preserve">DENY) on 100% of scenarios where approver independence was merely</w:t>
      </w:r>
      <w:r>
        <w:t xml:space="preserve"> </w:t>
      </w:r>
      <w:r>
        <w:rPr>
          <w:iCs/>
          <w:i/>
        </w:rPr>
        <w:t xml:space="preserve">unverifiable</w:t>
      </w:r>
      <w:r>
        <w:t xml:space="preserve">.</w:t>
      </w:r>
      <w:r>
        <w:t xml:space="preserve"> </w:t>
      </w:r>
      <w:r>
        <w:t xml:space="preserve">V1–V2 exact-verdict concordance was 100% (800/800).</w:t>
      </w:r>
    </w:p>
    <w:bookmarkEnd w:id="21"/>
    <w:bookmarkStart w:id="22" w:name="kill-gate"/>
    <w:p>
      <w:pPr>
        <w:pStyle w:val="Heading2"/>
      </w:pPr>
      <w:r>
        <w:t xml:space="preserve">2. Kill-Gate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Attack-effectiveness (50 attacks effective / 50 legit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and 50/50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guards ALLOW all 50 legitimate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guards fail-closed all 50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V1–V2 exact-verdict 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 (≥99%)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Kill-gate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t xml:space="preserve">Calibration seed:</w:t>
      </w:r>
      <w:r>
        <w:t xml:space="preserve"> </w:t>
      </w:r>
      <w:r>
        <w:rPr>
          <w:rStyle w:val="VerbatimChar"/>
        </w:rPr>
        <w:t xml:space="preserve">80568941947212748512692993019025823041524121853608344978736084415953485593698</w:t>
      </w:r>
    </w:p>
    <w:bookmarkEnd w:id="22"/>
    <w:bookmarkStart w:id="23" w:name="per-arm-results-100-scenarios-each"/>
    <w:p>
      <w:pPr>
        <w:pStyle w:val="Heading2"/>
      </w:pPr>
      <w:r>
        <w:t xml:space="preserve">3. Per-Arm Results (100 scenarios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(A/H/D)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(A/H/D)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 (worst)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LEGITIMATE-independent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DIRECT-self-approval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SOCKPUPPET-controlled-identity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DELEGATION-to-self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CIRCULAR-delegation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SHARED-CONTROLLER-collusion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INHERITED-parent-workflow-self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AMBIGUOUS-independence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 (HOLD)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iCs/>
          <w:i/>
        </w:rPr>
        <w:t xml:space="preserve">(A/H/D = ALLOW / HOLD / DENY counts.)</w:t>
      </w:r>
      <w:r>
        <w:t xml:space="preserve"> </w:t>
      </w:r>
      <w:r>
        <w:t xml:space="preserve">Every arm’s attack-effectiveness (arms 2–8)</w:t>
      </w:r>
      <w:r>
        <w:t xml:space="preserve"> </w:t>
      </w:r>
      <w:r>
        <w:t xml:space="preserve">or control-cleanliness (arm 1) gate passed at 100/100 before scoring.</w:t>
      </w:r>
    </w:p>
    <w:bookmarkEnd w:id="23"/>
    <w:bookmarkStart w:id="24" w:name="primary-criteria-preregistered-section-6"/>
    <w:p>
      <w:pPr>
        <w:pStyle w:val="Heading2"/>
      </w:pPr>
      <w:r>
        <w:t xml:space="preserve">4. Primary Criteria (preregistered, Section 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G_allow_legit</w:t>
            </w:r>
            <w:r>
              <w:t xml:space="preserve"> </w:t>
            </w:r>
            <w:r>
              <w:t xml:space="preserve">(Arm 1 ALLOW, worst of V1/V2)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G_failclosed_min</w:t>
            </w:r>
            <w:r>
              <w:t xml:space="preserve"> </w:t>
            </w:r>
            <w:r>
              <w:t xml:space="preserve">(min over Arms 2–8, worst of V1/V2)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G_margin = G_failclosed_min − (1 − G_allow_legit)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V1–V2 exact-verdict concordance (overall)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 (800/800)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three primary criteria met simultaneously → PASS.</w:t>
      </w:r>
    </w:p>
    <w:bookmarkEnd w:id="24"/>
    <w:bookmarkStart w:id="25" w:name="secondary-findings"/>
    <w:p>
      <w:pPr>
        <w:pStyle w:val="Heading2"/>
      </w:pPr>
      <w:r>
        <w:t xml:space="preserve">5. Secondary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— Violation universality:</w:t>
      </w:r>
      <w:r>
        <w:t xml:space="preserve"> </w:t>
      </w:r>
      <w:r>
        <w:t xml:space="preserve">all six genuine-violation classes (Arms 2–7)</w:t>
      </w:r>
      <w:r>
        <w:t xml:space="preserve"> </w:t>
      </w:r>
      <w:r>
        <w:t xml:space="preserve">produced fail-closed at 1.0000. No violation class was exempt.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— Dual-guard agreement:</w:t>
      </w:r>
      <w:r>
        <w:t xml:space="preserve"> </w:t>
      </w:r>
      <w:r>
        <w:t xml:space="preserve">100% exact-verdict concordance across all 800</w:t>
      </w:r>
      <w:r>
        <w:t xml:space="preserve"> </w:t>
      </w:r>
      <w:r>
        <w:t xml:space="preserve">scenarios. Two independent implementations of the prose decision procedure agree</w:t>
      </w:r>
      <w:r>
        <w:t xml:space="preserve"> </w:t>
      </w:r>
      <w:r>
        <w:t xml:space="preserve">completely.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— HOLD is first-class:</w:t>
      </w:r>
      <w:r>
        <w:t xml:space="preserve"> </w:t>
      </w:r>
      <w:r>
        <w:t xml:space="preserve">Arm 8 (unverifiable independence) returned HOLD at</w:t>
      </w:r>
      <w:r>
        <w:t xml:space="preserve"> </w:t>
      </w:r>
      <w:r>
        <w:t xml:space="preserve">1.0000 on both guards — neither an unsafe ALLOW nor an overclaimed DENY. This is</w:t>
      </w:r>
      <w:r>
        <w:t xml:space="preserve"> </w:t>
      </w:r>
      <w:r>
        <w:t xml:space="preserve">the three-state model behaving as designed: HOLD is the correct response to</w:t>
      </w:r>
      <w:r>
        <w:t xml:space="preserve"> </w:t>
      </w:r>
      <w:r>
        <w:rPr>
          <w:iCs/>
          <w:i/>
        </w:rPr>
        <w:t xml:space="preserve">ambiguous</w:t>
      </w:r>
      <w:r>
        <w:t xml:space="preserve"> </w:t>
      </w:r>
      <w:r>
        <w:t xml:space="preserve">independence, distinct from a</w:t>
      </w:r>
      <w:r>
        <w:t xml:space="preserve"> </w:t>
      </w:r>
      <w:r>
        <w:rPr>
          <w:iCs/>
          <w:i/>
        </w:rPr>
        <w:t xml:space="preserve">detected</w:t>
      </w:r>
      <w:r>
        <w:t xml:space="preserve"> </w:t>
      </w:r>
      <w:r>
        <w:t xml:space="preserve">violation.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H2d — DENY specificity:</w:t>
      </w:r>
      <w:r>
        <w:t xml:space="preserve"> </w:t>
      </w:r>
      <w:r>
        <w:t xml:space="preserve">the genuine-violation arms (2–7) returned DENY</w:t>
      </w:r>
      <w:r>
        <w:t xml:space="preserve"> </w:t>
      </w:r>
      <w:r>
        <w:t xml:space="preserve">(not merely fail-closed) at 1.0000 (worst of V1/V2). The guard distinguishes a</w:t>
      </w:r>
      <w:r>
        <w:t xml:space="preserve"> </w:t>
      </w:r>
      <w:r>
        <w:t xml:space="preserve">detected violation (DENY) from unverifiable independence (HOLD).</w:t>
      </w:r>
    </w:p>
    <w:bookmarkEnd w:id="25"/>
    <w:bookmarkStart w:id="26" w:name="Xb09a73dcc2bdd4574bc654a7d1786cda8bd814e"/>
    <w:p>
      <w:pPr>
        <w:pStyle w:val="Heading2"/>
      </w:pPr>
      <w:r>
        <w:t xml:space="preserve">6. What ARK-454 Establishes (and What It Does Not)</w:t>
      </w:r>
    </w:p>
    <w:p>
      <w:pPr>
        <w:pStyle w:val="FirstParagraph"/>
      </w:pPr>
      <w:r>
        <w:rPr>
          <w:bCs/>
          <w:b/>
        </w:rPr>
        <w:t xml:space="preserve">Establishes (within the modeled graph):</w:t>
      </w:r>
      <w:r>
        <w:t xml:space="preserve"> </w:t>
      </w:r>
      <w:r>
        <w:t xml:space="preserve">- Approval authority cannot be sourced, directly or transitively, from the party it</w:t>
      </w:r>
      <w:r>
        <w:t xml:space="preserve"> </w:t>
      </w:r>
      <w:r>
        <w:t xml:space="preserve">is meant to constrain: direct self-approval, a requester-controlled sockpuppet, a</w:t>
      </w:r>
      <w:r>
        <w:t xml:space="preserve"> </w:t>
      </w:r>
      <w:r>
        <w:t xml:space="preserve">shared third-party controller, the requester injected into the delegation chain,</w:t>
      </w:r>
      <w:r>
        <w:t xml:space="preserve"> </w:t>
      </w:r>
      <w:r>
        <w:t xml:space="preserve">a circular delegation loop, and authority inherited from a workflow the requester</w:t>
      </w:r>
      <w:r>
        <w:t xml:space="preserve"> </w:t>
      </w:r>
      <w:r>
        <w:t xml:space="preserve">initiated are all refused.</w:t>
      </w:r>
      <w:r>
        <w:t xml:space="preserve"> </w:t>
      </w:r>
      <w:r>
        <w:t xml:space="preserve">- The guard fails closed with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state: DENY for a detected violation,</w:t>
      </w:r>
      <w:r>
        <w:t xml:space="preserve"> </w:t>
      </w:r>
      <w:r>
        <w:t xml:space="preserve">HOLD when independence cannot be established.</w:t>
      </w:r>
      <w:r>
        <w:t xml:space="preserve"> </w:t>
      </w:r>
      <w:r>
        <w:t xml:space="preserve">- Two independently implemented guards agree exactly, indicating the decision</w:t>
      </w:r>
      <w:r>
        <w:t xml:space="preserve"> </w:t>
      </w:r>
      <w:r>
        <w:t xml:space="preserve">procedure is unambiguous as specified.</w:t>
      </w:r>
    </w:p>
    <w:p>
      <w:pPr>
        <w:pStyle w:val="BodyText"/>
      </w:pPr>
      <w:r>
        <w:rPr>
          <w:bCs/>
          <w:b/>
        </w:rPr>
        <w:t xml:space="preserve">Does not establish (out of scope, not claimed):</w:t>
      </w:r>
      <w:r>
        <w:t xml:space="preserve"> </w:t>
      </w:r>
      <w:r>
        <w:t xml:space="preserve">- Any cryptographic-security or hardware property (this is classical</w:t>
      </w:r>
      <w:r>
        <w:t xml:space="preserve"> </w:t>
      </w:r>
      <w:r>
        <w:t xml:space="preserve">authorization-graph logic).</w:t>
      </w:r>
      <w:r>
        <w:t xml:space="preserve"> </w:t>
      </w:r>
      <w:r>
        <w:t xml:space="preserve">- Robustness against adversarial forgery of the identity/control graph itself,</w:t>
      </w:r>
      <w:r>
        <w:t xml:space="preserve"> </w:t>
      </w:r>
      <w:r>
        <w:t xml:space="preserve">collusion among legitimately independent principals, off-graph side channels, or</w:t>
      </w:r>
      <w:r>
        <w:t xml:space="preserve"> </w:t>
      </w:r>
      <w:r>
        <w:t xml:space="preserve">runtime compromise of the guard.</w:t>
      </w:r>
      <w:r>
        <w:t xml:space="preserve"> </w:t>
      </w:r>
      <w:r>
        <w:t xml:space="preserve">- Coverage of control relationships the model does not represent.</w:t>
      </w:r>
    </w:p>
    <w:bookmarkEnd w:id="26"/>
    <w:bookmarkStart w:id="27" w:name="provenance-and-reproducibility"/>
    <w:p>
      <w:pPr>
        <w:pStyle w:val="Heading2"/>
      </w:pPr>
      <w:r>
        <w:t xml:space="preserve">7. Provenance and Reproducibility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Preregistration-first: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, both guards, the generator, both</w:t>
      </w:r>
      <w:r>
        <w:t xml:space="preserve"> </w:t>
      </w:r>
      <w:r>
        <w:t xml:space="preserve">run scripts, and the schema were hashed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and committed (lock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ddaa795</w:t>
      </w:r>
      <w:r>
        <w:t xml:space="preserve">) before any arm executed. No criterion was changed post-hoc.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Attack-effectiveness gate:</w:t>
      </w:r>
      <w:r>
        <w:t xml:space="preserve"> </w:t>
      </w:r>
      <w:r>
        <w:t xml:space="preserve">every attack arm was confirmed to genuinely encode</w:t>
      </w:r>
      <w:r>
        <w:t xml:space="preserve"> </w:t>
      </w:r>
      <w:r>
        <w:t xml:space="preserve">its violation (100/100) and the control arm to be genuinely clean (100/100) by an</w:t>
      </w:r>
      <w:r>
        <w:t xml:space="preserve"> </w:t>
      </w:r>
      <w:r>
        <w:t xml:space="preserve">independent structural oracle before scoring — the ARK-455-class defect (a no-op</w:t>
      </w:r>
      <w:r>
        <w:t xml:space="preserve"> </w:t>
      </w:r>
      <w:r>
        <w:t xml:space="preserve">“</w:t>
      </w:r>
      <w:r>
        <w:t xml:space="preserve">attack</w:t>
      </w:r>
      <w:r>
        <w:t xml:space="preserve">”</w:t>
      </w:r>
      <w:r>
        <w:t xml:space="preserve">) cannot recur silently 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Seeds (256-bit, recorded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results/</w:t>
      </w:r>
      <w:r>
        <w:rPr>
          <w:bCs/>
          <w:b/>
        </w:rPr>
        <w:t xml:space="preserve">):</w:t>
      </w:r>
    </w:p>
    <w:p>
      <w:pPr>
        <w:numPr>
          <w:ilvl w:val="1"/>
          <w:numId w:val="1003"/>
        </w:numPr>
        <w:pStyle w:val="Compact"/>
      </w:pPr>
      <w:r>
        <w:t xml:space="preserve">Arm 1:</w:t>
      </w:r>
      <w:r>
        <w:t xml:space="preserve"> </w:t>
      </w:r>
      <w:r>
        <w:rPr>
          <w:rStyle w:val="VerbatimChar"/>
        </w:rPr>
        <w:t xml:space="preserve">82691181889637171251212273603036076429202821227817565078732824668175041741549</w:t>
      </w:r>
    </w:p>
    <w:p>
      <w:pPr>
        <w:numPr>
          <w:ilvl w:val="1"/>
          <w:numId w:val="1003"/>
        </w:numPr>
        <w:pStyle w:val="Compact"/>
      </w:pPr>
      <w:r>
        <w:t xml:space="preserve">Arm 2:</w:t>
      </w:r>
      <w:r>
        <w:t xml:space="preserve"> </w:t>
      </w:r>
      <w:r>
        <w:rPr>
          <w:rStyle w:val="VerbatimChar"/>
        </w:rPr>
        <w:t xml:space="preserve">53374642687217268768178965480644863162135913492927978782666948179527298581939</w:t>
      </w:r>
    </w:p>
    <w:p>
      <w:pPr>
        <w:numPr>
          <w:ilvl w:val="1"/>
          <w:numId w:val="1003"/>
        </w:numPr>
        <w:pStyle w:val="Compact"/>
      </w:pPr>
      <w:r>
        <w:t xml:space="preserve">Arm 3:</w:t>
      </w:r>
      <w:r>
        <w:t xml:space="preserve"> </w:t>
      </w:r>
      <w:r>
        <w:rPr>
          <w:rStyle w:val="VerbatimChar"/>
        </w:rPr>
        <w:t xml:space="preserve">54958083510054961535148101813309855893099666371751875985234141202463629886173</w:t>
      </w:r>
    </w:p>
    <w:p>
      <w:pPr>
        <w:numPr>
          <w:ilvl w:val="1"/>
          <w:numId w:val="1003"/>
        </w:numPr>
        <w:pStyle w:val="Compact"/>
      </w:pPr>
      <w:r>
        <w:t xml:space="preserve">Arm 4:</w:t>
      </w:r>
      <w:r>
        <w:t xml:space="preserve"> </w:t>
      </w:r>
      <w:r>
        <w:rPr>
          <w:rStyle w:val="VerbatimChar"/>
        </w:rPr>
        <w:t xml:space="preserve">56050031728694687124408581443296536708645223506245147167075317358667488072285</w:t>
      </w:r>
    </w:p>
    <w:p>
      <w:pPr>
        <w:numPr>
          <w:ilvl w:val="1"/>
          <w:numId w:val="1003"/>
        </w:numPr>
        <w:pStyle w:val="Compact"/>
      </w:pPr>
      <w:r>
        <w:t xml:space="preserve">Arm 5:</w:t>
      </w:r>
      <w:r>
        <w:t xml:space="preserve"> </w:t>
      </w:r>
      <w:r>
        <w:rPr>
          <w:rStyle w:val="VerbatimChar"/>
        </w:rPr>
        <w:t xml:space="preserve">101439519570473774188143546581375691598057956091151151456345005243462761494315</w:t>
      </w:r>
    </w:p>
    <w:p>
      <w:pPr>
        <w:numPr>
          <w:ilvl w:val="1"/>
          <w:numId w:val="1003"/>
        </w:numPr>
        <w:pStyle w:val="Compact"/>
      </w:pPr>
      <w:r>
        <w:t xml:space="preserve">Arm 6:</w:t>
      </w:r>
      <w:r>
        <w:t xml:space="preserve"> </w:t>
      </w:r>
      <w:r>
        <w:rPr>
          <w:rStyle w:val="VerbatimChar"/>
        </w:rPr>
        <w:t xml:space="preserve">66269702923269037997623384234872379626387267732179822939472621339688029062247</w:t>
      </w:r>
    </w:p>
    <w:p>
      <w:pPr>
        <w:numPr>
          <w:ilvl w:val="1"/>
          <w:numId w:val="1003"/>
        </w:numPr>
        <w:pStyle w:val="Compact"/>
      </w:pPr>
      <w:r>
        <w:t xml:space="preserve">Arm 7:</w:t>
      </w:r>
      <w:r>
        <w:t xml:space="preserve"> </w:t>
      </w:r>
      <w:r>
        <w:rPr>
          <w:rStyle w:val="VerbatimChar"/>
        </w:rPr>
        <w:t xml:space="preserve">107147963596536186018561574198404597624003736375372313714728870755216804785665</w:t>
      </w:r>
    </w:p>
    <w:p>
      <w:pPr>
        <w:numPr>
          <w:ilvl w:val="1"/>
          <w:numId w:val="1003"/>
        </w:numPr>
        <w:pStyle w:val="Compact"/>
      </w:pPr>
      <w:r>
        <w:t xml:space="preserve">Arm 8:</w:t>
      </w:r>
      <w:r>
        <w:t xml:space="preserve"> </w:t>
      </w:r>
      <w:r>
        <w:rPr>
          <w:rStyle w:val="VerbatimChar"/>
        </w:rPr>
        <w:t xml:space="preserve">95044799084371554643609064114012431097839426936785550913385249165089673854807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window (UTC):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2026-07-17T19:09:59Z</w:t>
      </w:r>
      <w:r>
        <w:t xml:space="preserve">, end</w:t>
      </w:r>
      <w:r>
        <w:t xml:space="preserve"> </w:t>
      </w:r>
      <w:r>
        <w:rPr>
          <w:rStyle w:val="VerbatimChar"/>
        </w:rPr>
        <w:t xml:space="preserve">2026-07-17T19:10:00Z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Full machine-readable outputs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killgate_calibration.json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arm_1_results.json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arm_8_results.json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overall_results.json</w:t>
      </w:r>
      <w:r>
        <w:t xml:space="preserve">).</w:t>
      </w:r>
    </w:p>
    <w:bookmarkEnd w:id="27"/>
    <w:bookmarkStart w:id="28" w:name="corpus-placement"/>
    <w:p>
      <w:pPr>
        <w:pStyle w:val="Heading2"/>
      </w:pPr>
      <w:r>
        <w:t xml:space="preserve">8. Corpus Placement</w:t>
      </w:r>
    </w:p>
    <w:p>
      <w:pPr>
        <w:pStyle w:val="FirstParagraph"/>
      </w:pPr>
      <w:r>
        <w:t xml:space="preserve">ARK-454 extends the integrity dimension (ARK-444 single mutation; ARK-452 workflow</w:t>
      </w:r>
      <w:r>
        <w:t xml:space="preserve"> </w:t>
      </w:r>
      <w:r>
        <w:t xml:space="preserve">step) and the audit dimension (ARK-455/455b) into the</w:t>
      </w:r>
      <w:r>
        <w:t xml:space="preserve"> </w:t>
      </w:r>
      <w:r>
        <w:rPr>
          <w:bCs/>
          <w:b/>
        </w:rPr>
        <w:t xml:space="preserve">identity and delegation</w:t>
      </w:r>
      <w:r>
        <w:t xml:space="preserve"> </w:t>
      </w:r>
      <w:r>
        <w:t xml:space="preserve">dimension, and complements ARK-443 (multi-party quorum, single compromised</w:t>
      </w:r>
      <w:r>
        <w:t xml:space="preserve"> </w:t>
      </w:r>
      <w:r>
        <w:t xml:space="preserve">authorizer). Together they frame the separation-of-duties boundary of the</w:t>
      </w:r>
      <w:r>
        <w:t xml:space="preserve"> </w:t>
      </w:r>
      <w:r>
        <w:t xml:space="preserve">ExecutionProof control model: authorization is bound to a specific action, a</w:t>
      </w:r>
      <w:r>
        <w:t xml:space="preserve"> </w:t>
      </w:r>
      <w:r>
        <w:t xml:space="preserve">specific current state, an independent approver, and a tamper-evident record.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2026-07-17T19:10:49Z</dcterms:created>
  <dcterms:modified xsi:type="dcterms:W3CDTF">2026-07-17T19:10:49Z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