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a6490dadc16e03c587b42e0e49e653ed5dd48a"/>
    <w:p>
      <w:pPr>
        <w:pStyle w:val="Heading1"/>
      </w:pPr>
      <w:r>
        <w:t xml:space="preserve">AUTH-002 Results — Capability Composition and Confused-Deputy Resistance</w:t>
      </w:r>
    </w:p>
    <w:p>
      <w:pPr>
        <w:pStyle w:val="FirstParagraph"/>
      </w:pPr>
      <w:r>
        <w:rPr>
          <w:bCs/>
          <w:b/>
        </w:rPr>
        <w:t xml:space="preserve">Experiment ID:</w:t>
      </w:r>
      <w:r>
        <w:t xml:space="preserve"> </w:t>
      </w:r>
      <w:r>
        <w:t xml:space="preserve">AUTH-002</w:t>
      </w:r>
      <w:r>
        <w:br/>
      </w:r>
      <w:r>
        <w:rPr>
          <w:bCs/>
          <w:b/>
        </w:rPr>
        <w:t xml:space="preserve">Series:</w:t>
      </w:r>
      <w:r>
        <w:t xml:space="preserve"> </w:t>
      </w:r>
      <w:r>
        <w:t xml:space="preserve">Authority Partitioning (AUTH)</w:t>
      </w:r>
      <w:r>
        <w:br/>
      </w:r>
      <w:r>
        <w:rPr>
          <w:bCs/>
          <w:b/>
        </w:rPr>
        <w:t xml:space="preserve">Date executed:</w:t>
      </w:r>
      <w:r>
        <w:t xml:space="preserve"> </w:t>
      </w:r>
      <w:r>
        <w:t xml:space="preserve">2026-08-16</w:t>
      </w:r>
      <w:r>
        <w:br/>
      </w:r>
      <w:r>
        <w:rPr>
          <w:bCs/>
          <w:b/>
        </w:rPr>
        <w:t xml:space="preserve">Verdict:</w:t>
      </w:r>
      <w:r>
        <w:t xml:space="preserve"> </w:t>
      </w:r>
      <w:r>
        <w:rPr>
          <w:bCs/>
          <w:b/>
        </w:rPr>
        <w:t xml:space="preserve">PASS</w:t>
      </w:r>
      <w:r>
        <w:t xml:space="preserve"> </w:t>
      </w:r>
      <w:r>
        <w:t xml:space="preserve">(strong positive — 18/18, all six kill conditions clear)</w:t>
      </w:r>
      <w:r>
        <w:br/>
      </w:r>
      <w:r>
        <w:rPr>
          <w:bCs/>
          <w:b/>
        </w:rPr>
        <w:t xml:space="preserve">Preregistration hash:</w:t>
      </w:r>
      <w:r>
        <w:t xml:space="preserve"> </w:t>
      </w:r>
      <w:r>
        <w:rPr>
          <w:rStyle w:val="VerbatimChar"/>
        </w:rPr>
        <w:t xml:space="preserve">3393646b26d2d4af96e24a8b7bf2cca8053ba5da84cef3613e600bf45a0b5738</w:t>
      </w:r>
      <w:r>
        <w:br/>
      </w:r>
      <w:r>
        <w:rPr>
          <w:bCs/>
          <w:b/>
        </w:rPr>
        <w:t xml:space="preserve">ProofRecord final hash:</w:t>
      </w:r>
      <w:r>
        <w:t xml:space="preserve"> </w:t>
      </w:r>
      <w:r>
        <w:rPr>
          <w:rStyle w:val="VerbatimChar"/>
        </w:rPr>
        <w:t xml:space="preserve">d4047e3ec20217477388191f55d9905f82c47df37cdcfb7432e586a11098fd75</w:t>
      </w:r>
      <w:r>
        <w:br/>
      </w:r>
      <w:r>
        <w:rPr>
          <w:bCs/>
          <w:b/>
        </w:rPr>
        <w:t xml:space="preserve">Governing sentence:</w:t>
      </w:r>
      <w:r>
        <w:t xml:space="preserve"> </w:t>
      </w:r>
      <w:r>
        <w:t xml:space="preserve">“</w:t>
      </w:r>
      <w:r>
        <w:t xml:space="preserve">We will accept the result that is true, not the result we hoped to see.</w:t>
      </w:r>
      <w:r>
        <w:t xml:space="preserve">”</w:t>
      </w:r>
    </w:p>
    <w:p>
      <w:r>
        <w:pict>
          <v:rect style="width:0;height:1.5pt" o:hralign="center" o:hrstd="t" o:hr="t"/>
        </w:pict>
      </w:r>
    </w:p>
    <w:bookmarkStart w:id="20" w:name="summary"/>
    <w:p>
      <w:pPr>
        <w:pStyle w:val="Heading2"/>
      </w:pPr>
      <w:r>
        <w:t xml:space="preserve">Summary</w:t>
      </w:r>
    </w:p>
    <w:p>
      <w:pPr>
        <w:pStyle w:val="FirstParagraph"/>
      </w:pPr>
      <w:r>
        <w:t xml:space="preserve">AUTH-001 showed that narrow capability grants worked across its 18 preregistered cases. AUTH-002 attacked the assumption behind that result: whether those individually safe grants remain safe when composed across agents, tools, and chained actions.</w:t>
      </w:r>
    </w:p>
    <w:p>
      <w:pPr>
        <w:pStyle w:val="BodyText"/>
      </w:pPr>
      <w:r>
        <w:t xml:space="preserve">The experiment introduced five composition rules — no implicit delegation, explicit delegation grants, request-origin binding (confused-deputy defense), grant freshness, and no scope intersection — and tested them across 18 cases spanning delegated authority, cross-agent invocation, three confused-deputy variants, stale grants, capability reuse, scope-intersection attacks, privilege laundering, and valid multi-agent workflows.</w:t>
      </w:r>
    </w:p>
    <w:p>
      <w:pPr>
        <w:pStyle w:val="BodyText"/>
      </w:pPr>
      <w:r>
        <w:rPr>
          <w:bCs/>
          <w:b/>
        </w:rPr>
        <w:t xml:space="preserve">Result: 18/18 correct. All three confused-deputy cases denied. Zero privilege expansions. Zero grant broadening. All six kill conditions clear.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cases</w:t>
            </w:r>
          </w:p>
        </w:tc>
        <w:tc>
          <w:tcPr/>
          <w:p>
            <w:pPr>
              <w:pStyle w:val="Compact"/>
              <w:jc w:val="left"/>
            </w:pPr>
            <w:r>
              <w:t xml:space="preserve">18</w:t>
            </w:r>
          </w:p>
        </w:tc>
      </w:tr>
      <w:tr>
        <w:tc>
          <w:tcPr/>
          <w:p>
            <w:pPr>
              <w:pStyle w:val="Compact"/>
              <w:jc w:val="left"/>
            </w:pPr>
            <w:r>
              <w:t xml:space="preserve">Correct</w:t>
            </w:r>
          </w:p>
        </w:tc>
        <w:tc>
          <w:tcPr/>
          <w:p>
            <w:pPr>
              <w:pStyle w:val="Compact"/>
              <w:jc w:val="left"/>
            </w:pPr>
            <w:r>
              <w:t xml:space="preserve">18/18</w:t>
            </w:r>
          </w:p>
        </w:tc>
      </w:tr>
      <w:tr>
        <w:tc>
          <w:tcPr/>
          <w:p>
            <w:pPr>
              <w:pStyle w:val="Compact"/>
              <w:jc w:val="left"/>
            </w:pPr>
            <w:r>
              <w:t xml:space="preserve">Legitimate ALLOW (delegated/multi-agent)</w:t>
            </w:r>
          </w:p>
        </w:tc>
        <w:tc>
          <w:tcPr/>
          <w:p>
            <w:pPr>
              <w:pStyle w:val="Compact"/>
              <w:jc w:val="left"/>
            </w:pPr>
            <w:r>
              <w:t xml:space="preserve">7/7</w:t>
            </w:r>
          </w:p>
        </w:tc>
      </w:tr>
      <w:tr>
        <w:tc>
          <w:tcPr/>
          <w:p>
            <w:pPr>
              <w:pStyle w:val="Compact"/>
              <w:jc w:val="left"/>
            </w:pPr>
            <w:r>
              <w:t xml:space="preserve">Composition-level attacks DENY</w:t>
            </w:r>
          </w:p>
        </w:tc>
        <w:tc>
          <w:tcPr/>
          <w:p>
            <w:pPr>
              <w:pStyle w:val="Compact"/>
              <w:jc w:val="left"/>
            </w:pPr>
            <w:r>
              <w:t xml:space="preserve">11/11</w:t>
            </w:r>
          </w:p>
        </w:tc>
      </w:tr>
      <w:tr>
        <w:tc>
          <w:tcPr/>
          <w:p>
            <w:pPr>
              <w:pStyle w:val="Compact"/>
              <w:jc w:val="left"/>
            </w:pPr>
            <w:r>
              <w:t xml:space="preserve">Confused-deputy cases denied (K2)</w:t>
            </w:r>
          </w:p>
        </w:tc>
        <w:tc>
          <w:tcPr/>
          <w:p>
            <w:pPr>
              <w:pStyle w:val="Compact"/>
              <w:jc w:val="left"/>
            </w:pPr>
            <w:r>
              <w:t xml:space="preserve">3/3</w:t>
            </w:r>
          </w:p>
        </w:tc>
      </w:tr>
      <w:tr>
        <w:tc>
          <w:tcPr/>
          <w:p>
            <w:pPr>
              <w:pStyle w:val="Compact"/>
              <w:jc w:val="left"/>
            </w:pPr>
            <w:r>
              <w:t xml:space="preserve">Delegation-leak cases denied (K3)</w:t>
            </w:r>
          </w:p>
        </w:tc>
        <w:tc>
          <w:tcPr/>
          <w:p>
            <w:pPr>
              <w:pStyle w:val="Compact"/>
              <w:jc w:val="left"/>
            </w:pPr>
            <w:r>
              <w:t xml:space="preserve">7/7</w:t>
            </w:r>
          </w:p>
        </w:tc>
      </w:tr>
      <w:tr>
        <w:tc>
          <w:tcPr/>
          <w:p>
            <w:pPr>
              <w:pStyle w:val="Compact"/>
              <w:jc w:val="left"/>
            </w:pPr>
            <w:r>
              <w:t xml:space="preserve">Scope-intersection/laundering denied (K4)</w:t>
            </w:r>
          </w:p>
        </w:tc>
        <w:tc>
          <w:tcPr/>
          <w:p>
            <w:pPr>
              <w:pStyle w:val="Compact"/>
              <w:jc w:val="left"/>
            </w:pPr>
            <w:r>
              <w:t xml:space="preserve">2/2</w:t>
            </w:r>
          </w:p>
        </w:tc>
      </w:tr>
      <w:tr>
        <w:tc>
          <w:tcPr/>
          <w:p>
            <w:pPr>
              <w:pStyle w:val="Compact"/>
              <w:jc w:val="left"/>
            </w:pPr>
            <w:r>
              <w:t xml:space="preserve">Privilege expansions</w:t>
            </w:r>
          </w:p>
        </w:tc>
        <w:tc>
          <w:tcPr/>
          <w:p>
            <w:pPr>
              <w:pStyle w:val="Compact"/>
              <w:jc w:val="left"/>
            </w:pPr>
            <w:r>
              <w:t xml:space="preserve">0</w:t>
            </w:r>
          </w:p>
        </w:tc>
      </w:tr>
      <w:tr>
        <w:tc>
          <w:tcPr/>
          <w:p>
            <w:pPr>
              <w:pStyle w:val="Compact"/>
              <w:jc w:val="left"/>
            </w:pPr>
            <w:r>
              <w:t xml:space="preserve">Grants broadened</w:t>
            </w:r>
          </w:p>
        </w:tc>
        <w:tc>
          <w:tcPr/>
          <w:p>
            <w:pPr>
              <w:pStyle w:val="Compact"/>
              <w:jc w:val="left"/>
            </w:pPr>
            <w:r>
              <w:t xml:space="preserve">0</w:t>
            </w:r>
          </w:p>
        </w:tc>
      </w:tr>
      <w:tr>
        <w:tc>
          <w:tcPr/>
          <w:p>
            <w:pPr>
              <w:pStyle w:val="Compact"/>
              <w:jc w:val="left"/>
            </w:pPr>
            <w:r>
              <w:t xml:space="preserve">Kill conditions triggered</w:t>
            </w:r>
          </w:p>
        </w:tc>
        <w:tc>
          <w:tcPr/>
          <w:p>
            <w:pPr>
              <w:pStyle w:val="Compact"/>
              <w:jc w:val="left"/>
            </w:pPr>
            <w:r>
              <w:t xml:space="preserve">0</w:t>
            </w:r>
          </w:p>
        </w:tc>
      </w:tr>
    </w:tbl>
    <w:bookmarkEnd w:id="20"/>
    <w:bookmarkStart w:id="21" w:name="per-case-results"/>
    <w:p>
      <w:pPr>
        <w:pStyle w:val="Heading2"/>
      </w:pPr>
      <w:r>
        <w:t xml:space="preserve">Per-Case Results</w:t>
      </w:r>
    </w:p>
    <w:tbl>
      <w:tblPr>
        <w:tblStyle w:val="Table"/>
        <w:tblW w:type="pct" w:w="5000"/>
        <w:tblLook w:firstRow="1" w:lastRow="0" w:firstColumn="0" w:lastColumn="0" w:noHBand="0" w:noVBand="0" w:val="0020"/>
      </w:tblPr>
      <w:tblGrid>
        <w:gridCol w:w="1105"/>
        <w:gridCol w:w="1841"/>
        <w:gridCol w:w="1841"/>
        <w:gridCol w:w="1473"/>
        <w:gridCol w:w="1657"/>
      </w:tblGrid>
      <w:tr>
        <w:trPr>
          <w:tblHeader w:val="true"/>
        </w:trPr>
        <w:tc>
          <w:tcPr/>
          <w:p>
            <w:pPr>
              <w:pStyle w:val="Compact"/>
              <w:jc w:val="left"/>
            </w:pPr>
            <w:r>
              <w:t xml:space="preserve">Case</w:t>
            </w:r>
          </w:p>
        </w:tc>
        <w:tc>
          <w:tcPr/>
          <w:p>
            <w:pPr>
              <w:pStyle w:val="Compact"/>
              <w:jc w:val="left"/>
            </w:pPr>
            <w:r>
              <w:t xml:space="preserve">Category</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Correct</w:t>
            </w:r>
          </w:p>
        </w:tc>
      </w:tr>
      <w:tr>
        <w:tc>
          <w:tcPr/>
          <w:p>
            <w:pPr>
              <w:pStyle w:val="Compact"/>
              <w:jc w:val="left"/>
            </w:pPr>
            <w:r>
              <w:t xml:space="preserve">B01</w:t>
            </w:r>
          </w:p>
        </w:tc>
        <w:tc>
          <w:tcPr/>
          <w:p>
            <w:pPr>
              <w:pStyle w:val="Compact"/>
              <w:jc w:val="left"/>
            </w:pPr>
            <w:r>
              <w:t xml:space="preserve">Delegated authority — legit</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B02</w:t>
            </w:r>
          </w:p>
        </w:tc>
        <w:tc>
          <w:tcPr/>
          <w:p>
            <w:pPr>
              <w:pStyle w:val="Compact"/>
              <w:jc w:val="left"/>
            </w:pPr>
            <w:r>
              <w:t xml:space="preserve">Delegated authority — no delegation grant</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B03</w:t>
            </w:r>
          </w:p>
        </w:tc>
        <w:tc>
          <w:tcPr/>
          <w:p>
            <w:pPr>
              <w:pStyle w:val="Compact"/>
              <w:jc w:val="left"/>
            </w:pPr>
            <w:r>
              <w:t xml:space="preserve">Delegated authority — delegate lacks capability</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B04</w:t>
            </w:r>
          </w:p>
        </w:tc>
        <w:tc>
          <w:tcPr/>
          <w:p>
            <w:pPr>
              <w:pStyle w:val="Compact"/>
              <w:jc w:val="left"/>
            </w:pPr>
            <w:r>
              <w:t xml:space="preserve">Cross-agent invocation — legit</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B05</w:t>
            </w:r>
          </w:p>
        </w:tc>
        <w:tc>
          <w:tcPr/>
          <w:p>
            <w:pPr>
              <w:pStyle w:val="Compact"/>
              <w:jc w:val="left"/>
            </w:pPr>
            <w:r>
              <w:t xml:space="preserve">Cross-agent invocation — no standing capability</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B06</w:t>
            </w:r>
          </w:p>
        </w:tc>
        <w:tc>
          <w:tcPr/>
          <w:p>
            <w:pPr>
              <w:pStyle w:val="Compact"/>
              <w:jc w:val="left"/>
            </w:pPr>
            <w:r>
              <w:rPr>
                <w:bCs/>
                <w:b/>
              </w:rPr>
              <w:t xml:space="preserve">Confused deputy — classic</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B07</w:t>
            </w:r>
          </w:p>
        </w:tc>
        <w:tc>
          <w:tcPr/>
          <w:p>
            <w:pPr>
              <w:pStyle w:val="Compact"/>
              <w:jc w:val="left"/>
            </w:pPr>
            <w:r>
              <w:rPr>
                <w:bCs/>
                <w:b/>
              </w:rPr>
              <w:t xml:space="preserve">Confused deputy — tool-mediated</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B08</w:t>
            </w:r>
          </w:p>
        </w:tc>
        <w:tc>
          <w:tcPr/>
          <w:p>
            <w:pPr>
              <w:pStyle w:val="Compact"/>
              <w:jc w:val="left"/>
            </w:pPr>
            <w:r>
              <w:rPr>
                <w:bCs/>
                <w:b/>
              </w:rPr>
              <w:t xml:space="preserve">Confused deputy — chained</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B09</w:t>
            </w:r>
          </w:p>
        </w:tc>
        <w:tc>
          <w:tcPr/>
          <w:p>
            <w:pPr>
              <w:pStyle w:val="Compact"/>
              <w:jc w:val="left"/>
            </w:pPr>
            <w:r>
              <w:t xml:space="preserve">Read→transform→transmit chain — legit</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B10</w:t>
            </w:r>
          </w:p>
        </w:tc>
        <w:tc>
          <w:tcPr/>
          <w:p>
            <w:pPr>
              <w:pStyle w:val="Compact"/>
              <w:jc w:val="left"/>
            </w:pPr>
            <w:r>
              <w:t xml:space="preserve">Read→transform→transmit — transmit missing</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B11</w:t>
            </w:r>
          </w:p>
        </w:tc>
        <w:tc>
          <w:tcPr/>
          <w:p>
            <w:pPr>
              <w:pStyle w:val="Compact"/>
              <w:jc w:val="left"/>
            </w:pPr>
            <w:r>
              <w:t xml:space="preserve">Stale grant — expired capability</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B12</w:t>
            </w:r>
          </w:p>
        </w:tc>
        <w:tc>
          <w:tcPr/>
          <w:p>
            <w:pPr>
              <w:pStyle w:val="Compact"/>
              <w:jc w:val="left"/>
            </w:pPr>
            <w:r>
              <w:t xml:space="preserve">Stale grant — fresh capability</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B13</w:t>
            </w:r>
          </w:p>
        </w:tc>
        <w:tc>
          <w:tcPr/>
          <w:p>
            <w:pPr>
              <w:pStyle w:val="Compact"/>
              <w:jc w:val="left"/>
            </w:pPr>
            <w:r>
              <w:t xml:space="preserve">Stale delegation — expired</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B14</w:t>
            </w:r>
          </w:p>
        </w:tc>
        <w:tc>
          <w:tcPr/>
          <w:p>
            <w:pPr>
              <w:pStyle w:val="Compact"/>
              <w:jc w:val="left"/>
            </w:pPr>
            <w:r>
              <w:t xml:space="preserve">Capability reuse — non-consumable</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B15</w:t>
            </w:r>
          </w:p>
        </w:tc>
        <w:tc>
          <w:tcPr/>
          <w:p>
            <w:pPr>
              <w:pStyle w:val="Compact"/>
              <w:jc w:val="left"/>
            </w:pPr>
            <w:r>
              <w:t xml:space="preserve">Scope intersection attack</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B16</w:t>
            </w:r>
          </w:p>
        </w:tc>
        <w:tc>
          <w:tcPr/>
          <w:p>
            <w:pPr>
              <w:pStyle w:val="Compact"/>
              <w:jc w:val="left"/>
            </w:pPr>
            <w:r>
              <w:t xml:space="preserve">Privilege laundering — delegation chain</w:t>
            </w:r>
          </w:p>
        </w:tc>
        <w:tc>
          <w:tcPr/>
          <w:p>
            <w:pPr>
              <w:pStyle w:val="Compact"/>
              <w:jc w:val="left"/>
            </w:pPr>
            <w:r>
              <w:t xml:space="preserve">DENY</w:t>
            </w:r>
          </w:p>
        </w:tc>
        <w:tc>
          <w:tcPr/>
          <w:p>
            <w:pPr>
              <w:pStyle w:val="Compact"/>
              <w:jc w:val="left"/>
            </w:pPr>
            <w:r>
              <w:t xml:space="preserve">DENY</w:t>
            </w:r>
          </w:p>
        </w:tc>
        <w:tc>
          <w:tcPr/>
          <w:p>
            <w:pPr>
              <w:pStyle w:val="Compact"/>
              <w:jc w:val="left"/>
            </w:pPr>
            <w:r>
              <w:t xml:space="preserve">✓</w:t>
            </w:r>
          </w:p>
        </w:tc>
      </w:tr>
      <w:tr>
        <w:tc>
          <w:tcPr/>
          <w:p>
            <w:pPr>
              <w:pStyle w:val="Compact"/>
              <w:jc w:val="left"/>
            </w:pPr>
            <w:r>
              <w:t xml:space="preserve">B17</w:t>
            </w:r>
          </w:p>
        </w:tc>
        <w:tc>
          <w:tcPr/>
          <w:p>
            <w:pPr>
              <w:pStyle w:val="Compact"/>
              <w:jc w:val="left"/>
            </w:pPr>
            <w:r>
              <w:t xml:space="preserve">Valid multi-agent workflow (3 agents)</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r>
        <w:tc>
          <w:tcPr/>
          <w:p>
            <w:pPr>
              <w:pStyle w:val="Compact"/>
              <w:jc w:val="left"/>
            </w:pPr>
            <w:r>
              <w:t xml:space="preserve">B18</w:t>
            </w:r>
          </w:p>
        </w:tc>
        <w:tc>
          <w:tcPr/>
          <w:p>
            <w:pPr>
              <w:pStyle w:val="Compact"/>
              <w:jc w:val="left"/>
            </w:pPr>
            <w:r>
              <w:t xml:space="preserve">Delegate acts alone (self-originated)</w:t>
            </w:r>
          </w:p>
        </w:tc>
        <w:tc>
          <w:tcPr/>
          <w:p>
            <w:pPr>
              <w:pStyle w:val="Compact"/>
              <w:jc w:val="left"/>
            </w:pPr>
            <w:r>
              <w:t xml:space="preserve">ALLOW</w:t>
            </w:r>
          </w:p>
        </w:tc>
        <w:tc>
          <w:tcPr/>
          <w:p>
            <w:pPr>
              <w:pStyle w:val="Compact"/>
              <w:jc w:val="left"/>
            </w:pPr>
            <w:r>
              <w:t xml:space="preserve">ALLOW</w:t>
            </w:r>
          </w:p>
        </w:tc>
        <w:tc>
          <w:tcPr/>
          <w:p>
            <w:pPr>
              <w:pStyle w:val="Compact"/>
              <w:jc w:val="left"/>
            </w:pPr>
            <w:r>
              <w:t xml:space="preserve">✓</w:t>
            </w:r>
          </w:p>
        </w:tc>
      </w:tr>
    </w:tbl>
    <w:bookmarkEnd w:id="21"/>
    <w:bookmarkStart w:id="22" w:name="kill-condition-evaluation"/>
    <w:p>
      <w:pPr>
        <w:pStyle w:val="Heading2"/>
      </w:pPr>
      <w:r>
        <w:t xml:space="preserve">Kill Condition Evaluation</w:t>
      </w:r>
    </w:p>
    <w:tbl>
      <w:tblPr>
        <w:tblStyle w:val="Table"/>
        <w:tblW w:type="pct" w:w="5000"/>
        <w:tblLook w:firstRow="1" w:lastRow="0" w:firstColumn="0" w:lastColumn="0" w:noHBand="0" w:noVBand="0" w:val="0020"/>
      </w:tblPr>
      <w:tblGrid>
        <w:gridCol w:w="1357"/>
        <w:gridCol w:w="2941"/>
        <w:gridCol w:w="1810"/>
        <w:gridCol w:w="1810"/>
      </w:tblGrid>
      <w:tr>
        <w:trPr>
          <w:tblHeader w:val="true"/>
        </w:trPr>
        <w:tc>
          <w:tcPr/>
          <w:p>
            <w:pPr>
              <w:pStyle w:val="Compact"/>
              <w:jc w:val="left"/>
            </w:pPr>
            <w:r>
              <w:t xml:space="preserve">Kill</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K1</w:t>
            </w:r>
          </w:p>
        </w:tc>
        <w:tc>
          <w:tcPr/>
          <w:p>
            <w:pPr>
              <w:pStyle w:val="Compact"/>
              <w:jc w:val="left"/>
            </w:pPr>
            <w:r>
              <w:t xml:space="preserve">Composition defense breaks legitimate work</w:t>
            </w:r>
          </w:p>
        </w:tc>
        <w:tc>
          <w:tcPr/>
          <w:p>
            <w:pPr>
              <w:pStyle w:val="Compact"/>
              <w:jc w:val="left"/>
            </w:pPr>
            <w:r>
              <w:rPr>
                <w:bCs/>
                <w:b/>
              </w:rPr>
              <w:t xml:space="preserve">Clear</w:t>
            </w:r>
          </w:p>
        </w:tc>
        <w:tc>
          <w:tcPr/>
          <w:p>
            <w:pPr>
              <w:pStyle w:val="Compact"/>
              <w:jc w:val="left"/>
            </w:pPr>
            <w:r>
              <w:t xml:space="preserve">All 7 legitimate cases (B01, B04, B09, B12, B14, B17, B18) ALLOW’d with exactly their declared grants and delegations.</w:t>
            </w:r>
          </w:p>
        </w:tc>
      </w:tr>
      <w:tr>
        <w:tc>
          <w:tcPr/>
          <w:p>
            <w:pPr>
              <w:pStyle w:val="Compact"/>
              <w:jc w:val="left"/>
            </w:pPr>
            <w:r>
              <w:t xml:space="preserve">K2</w:t>
            </w:r>
          </w:p>
        </w:tc>
        <w:tc>
          <w:tcPr/>
          <w:p>
            <w:pPr>
              <w:pStyle w:val="Compact"/>
              <w:jc w:val="left"/>
            </w:pPr>
            <w:r>
              <w:rPr>
                <w:bCs/>
                <w:b/>
              </w:rPr>
              <w:t xml:space="preserve">Confused-deputy success</w:t>
            </w:r>
          </w:p>
        </w:tc>
        <w:tc>
          <w:tcPr/>
          <w:p>
            <w:pPr>
              <w:pStyle w:val="Compact"/>
              <w:jc w:val="left"/>
            </w:pPr>
            <w:r>
              <w:rPr>
                <w:bCs/>
                <w:b/>
              </w:rPr>
              <w:t xml:space="preserve">Clear</w:t>
            </w:r>
          </w:p>
        </w:tc>
        <w:tc>
          <w:tcPr/>
          <w:p>
            <w:pPr>
              <w:pStyle w:val="Compact"/>
              <w:jc w:val="left"/>
            </w:pPr>
            <w:r>
              <w:t xml:space="preserve">All 3 confused-deputy cases (B06 classic, B07 tool-mediated, B08 chained) DENY’d. Request-origin binding prevented the authorized component from being exercised for an unauthorized purpose.</w:t>
            </w:r>
          </w:p>
        </w:tc>
      </w:tr>
      <w:tr>
        <w:tc>
          <w:tcPr/>
          <w:p>
            <w:pPr>
              <w:pStyle w:val="Compact"/>
              <w:jc w:val="left"/>
            </w:pPr>
            <w:r>
              <w:t xml:space="preserve">K3</w:t>
            </w:r>
          </w:p>
        </w:tc>
        <w:tc>
          <w:tcPr/>
          <w:p>
            <w:pPr>
              <w:pStyle w:val="Compact"/>
              <w:jc w:val="left"/>
            </w:pPr>
            <w:r>
              <w:t xml:space="preserve">Delegation leak</w:t>
            </w:r>
          </w:p>
        </w:tc>
        <w:tc>
          <w:tcPr/>
          <w:p>
            <w:pPr>
              <w:pStyle w:val="Compact"/>
              <w:jc w:val="left"/>
            </w:pPr>
            <w:r>
              <w:rPr>
                <w:bCs/>
                <w:b/>
              </w:rPr>
              <w:t xml:space="preserve">Clear</w:t>
            </w:r>
          </w:p>
        </w:tc>
        <w:tc>
          <w:tcPr/>
          <w:p>
            <w:pPr>
              <w:pStyle w:val="Compact"/>
              <w:jc w:val="left"/>
            </w:pPr>
            <w:r>
              <w:t xml:space="preserve">All 7 delegation-leak cases DENY’d (B02 no delegation, B03 delegate lacks capability, B05 no standing capability, B10 transmit missing, B11 expired capability, B13 expired delegation, B16 privilege laundering).</w:t>
            </w:r>
          </w:p>
        </w:tc>
      </w:tr>
      <w:tr>
        <w:tc>
          <w:tcPr/>
          <w:p>
            <w:pPr>
              <w:pStyle w:val="Compact"/>
              <w:jc w:val="left"/>
            </w:pPr>
            <w:r>
              <w:t xml:space="preserve">K4</w:t>
            </w:r>
          </w:p>
        </w:tc>
        <w:tc>
          <w:tcPr/>
          <w:p>
            <w:pPr>
              <w:pStyle w:val="Compact"/>
              <w:jc w:val="left"/>
            </w:pPr>
            <w:r>
              <w:t xml:space="preserve">Scope-intersection/laundering leak</w:t>
            </w:r>
          </w:p>
        </w:tc>
        <w:tc>
          <w:tcPr/>
          <w:p>
            <w:pPr>
              <w:pStyle w:val="Compact"/>
              <w:jc w:val="left"/>
            </w:pPr>
            <w:r>
              <w:rPr>
                <w:bCs/>
                <w:b/>
              </w:rPr>
              <w:t xml:space="preserve">Clear</w:t>
            </w:r>
          </w:p>
        </w:tc>
        <w:tc>
          <w:tcPr/>
          <w:p>
            <w:pPr>
              <w:pStyle w:val="Compact"/>
              <w:jc w:val="left"/>
            </w:pPr>
            <w:r>
              <w:t xml:space="preserve">B15 (write:ops-config + read:finance-reports ≠ write:finance-reports) and B16 (delegation chain from unauthorized origin) both DENY’d.</w:t>
            </w:r>
          </w:p>
        </w:tc>
      </w:tr>
      <w:tr>
        <w:tc>
          <w:tcPr/>
          <w:p>
            <w:pPr>
              <w:pStyle w:val="Compact"/>
              <w:jc w:val="left"/>
            </w:pPr>
            <w:r>
              <w:t xml:space="preserve">K5</w:t>
            </w:r>
          </w:p>
        </w:tc>
        <w:tc>
          <w:tcPr/>
          <w:p>
            <w:pPr>
              <w:pStyle w:val="Compact"/>
              <w:jc w:val="left"/>
            </w:pPr>
            <w:r>
              <w:t xml:space="preserve">Normalization expands privilege</w:t>
            </w:r>
          </w:p>
        </w:tc>
        <w:tc>
          <w:tcPr/>
          <w:p>
            <w:pPr>
              <w:pStyle w:val="Compact"/>
              <w:jc w:val="left"/>
            </w:pPr>
            <w:r>
              <w:rPr>
                <w:bCs/>
                <w:b/>
              </w:rPr>
              <w:t xml:space="preserve">Clear</w:t>
            </w:r>
          </w:p>
        </w:tc>
        <w:tc>
          <w:tcPr/>
          <w:p>
            <w:pPr>
              <w:pStyle w:val="Compact"/>
              <w:jc w:val="left"/>
            </w:pPr>
            <w:r>
              <w:t xml:space="preserve">Zero privilege expansions. WORDING_EQUIVALENCES map unchanged from IB/AUTH-001.</w:t>
            </w:r>
          </w:p>
        </w:tc>
      </w:tr>
      <w:tr>
        <w:tc>
          <w:tcPr/>
          <w:p>
            <w:pPr>
              <w:pStyle w:val="Compact"/>
              <w:jc w:val="left"/>
            </w:pPr>
            <w:r>
              <w:t xml:space="preserve">K6</w:t>
            </w:r>
          </w:p>
        </w:tc>
        <w:tc>
          <w:tcPr/>
          <w:p>
            <w:pPr>
              <w:pStyle w:val="Compact"/>
              <w:jc w:val="left"/>
            </w:pPr>
            <w:r>
              <w:t xml:space="preserve">“</w:t>
            </w:r>
            <w:r>
              <w:t xml:space="preserve">Just in case</w:t>
            </w:r>
            <w:r>
              <w:t xml:space="preserve">”</w:t>
            </w:r>
            <w:r>
              <w:t xml:space="preserve"> </w:t>
            </w:r>
            <w:r>
              <w:t xml:space="preserve">breadth required</w:t>
            </w:r>
          </w:p>
        </w:tc>
        <w:tc>
          <w:tcPr/>
          <w:p>
            <w:pPr>
              <w:pStyle w:val="Compact"/>
              <w:jc w:val="left"/>
            </w:pPr>
            <w:r>
              <w:rPr>
                <w:bCs/>
                <w:b/>
              </w:rPr>
              <w:t xml:space="preserve">Clear</w:t>
            </w:r>
          </w:p>
        </w:tc>
        <w:tc>
          <w:tcPr/>
          <w:p>
            <w:pPr>
              <w:pStyle w:val="Compact"/>
              <w:jc w:val="left"/>
            </w:pPr>
            <w:r>
              <w:t xml:space="preserve">Every ALLOW achieved with exactly preregistered grants. No broadening.</w:t>
            </w:r>
          </w:p>
        </w:tc>
      </w:tr>
    </w:tbl>
    <w:bookmarkEnd w:id="22"/>
    <w:bookmarkStart w:id="26" w:name="load-bearing-results"/>
    <w:p>
      <w:pPr>
        <w:pStyle w:val="Heading2"/>
      </w:pPr>
      <w:r>
        <w:t xml:space="preserve">Load-Bearing Results</w:t>
      </w:r>
    </w:p>
    <w:bookmarkStart w:id="23" w:name="confused-deputy-defense-b06-b07-b08"/>
    <w:p>
      <w:pPr>
        <w:pStyle w:val="Heading3"/>
      </w:pPr>
      <w:r>
        <w:t xml:space="preserve">Confused-Deputy Defense (B06, B07, B08)</w:t>
      </w:r>
    </w:p>
    <w:p>
      <w:pPr>
        <w:pStyle w:val="FirstParagraph"/>
      </w:pPr>
      <w:r>
        <w:t xml:space="preserve">This was the central test of AUTH-002 and the load-bearing kill condition (K2).</w:t>
      </w:r>
    </w:p>
    <w:p>
      <w:pPr>
        <w:pStyle w:val="BodyText"/>
      </w:pPr>
      <w:r>
        <w:rPr>
          <w:bCs/>
          <w:b/>
        </w:rPr>
        <w:t xml:space="preserve">B06 (classic):</w:t>
      </w:r>
      <w:r>
        <w:t xml:space="preserve"> </w:t>
      </w:r>
      <w:r>
        <w:rPr>
          <w:rStyle w:val="VerbatimChar"/>
        </w:rPr>
        <w:t xml:space="preserve">external-requester</w:t>
      </w:r>
      <w:r>
        <w:t xml:space="preserve"> </w:t>
      </w:r>
      <w:r>
        <w:t xml:space="preserve">(zero grants) asked</w:t>
      </w:r>
      <w:r>
        <w:t xml:space="preserve"> </w:t>
      </w:r>
      <w:r>
        <w:rPr>
          <w:rStyle w:val="VerbatimChar"/>
        </w:rPr>
        <w:t xml:space="preserve">ops-agent</w:t>
      </w:r>
      <w:r>
        <w:t xml:space="preserve"> </w:t>
      </w:r>
      <w:r>
        <w:t xml:space="preserve">to transmit.</w:t>
      </w:r>
      <w:r>
        <w:t xml:space="preserve"> </w:t>
      </w:r>
      <w:r>
        <w:rPr>
          <w:rStyle w:val="VerbatimChar"/>
        </w:rPr>
        <w:t xml:space="preserve">ops-agent</w:t>
      </w:r>
      <w:r>
        <w:t xml:space="preserve"> </w:t>
      </w:r>
      <w:r>
        <w:t xml:space="preserve">holds the transmit capability, but</w:t>
      </w:r>
      <w:r>
        <w:t xml:space="preserve"> </w:t>
      </w:r>
      <w:r>
        <w:rPr>
          <w:rStyle w:val="VerbatimChar"/>
        </w:rPr>
        <w:t xml:space="preserve">request_origin = external-requester</w:t>
      </w:r>
      <w:r>
        <w:t xml:space="preserve"> </w:t>
      </w:r>
      <w:r>
        <w:t xml:space="preserve">and no delegation grant from</w:t>
      </w:r>
      <w:r>
        <w:t xml:space="preserve"> </w:t>
      </w:r>
      <w:r>
        <w:rPr>
          <w:rStyle w:val="VerbatimChar"/>
        </w:rPr>
        <w:t xml:space="preserve">external-requester</w:t>
      </w:r>
      <w:r>
        <w:t xml:space="preserve"> </w:t>
      </w:r>
      <w:r>
        <w:t xml:space="preserve">to</w:t>
      </w:r>
      <w:r>
        <w:t xml:space="preserve"> </w:t>
      </w:r>
      <w:r>
        <w:rPr>
          <w:rStyle w:val="VerbatimChar"/>
        </w:rPr>
        <w:t xml:space="preserve">ops-agent</w:t>
      </w:r>
      <w:r>
        <w:t xml:space="preserve"> </w:t>
      </w:r>
      <w:r>
        <w:t xml:space="preserve">exists.</w:t>
      </w:r>
      <w:r>
        <w:t xml:space="preserve"> </w:t>
      </w:r>
      <w:r>
        <w:rPr>
          <w:bCs/>
          <w:b/>
        </w:rPr>
        <w:t xml:space="preserve">Denied.</w:t>
      </w:r>
      <w:r>
        <w:t xml:space="preserve"> </w:t>
      </w:r>
      <w:r>
        <w:t xml:space="preserve">The authorized component’s capability was not exercised for the unauthorized requester.</w:t>
      </w:r>
    </w:p>
    <w:p>
      <w:pPr>
        <w:pStyle w:val="BodyText"/>
      </w:pPr>
      <w:r>
        <w:rPr>
          <w:bCs/>
          <w:b/>
        </w:rPr>
        <w:t xml:space="preserve">B07 (tool-mediated):</w:t>
      </w:r>
      <w:r>
        <w:t xml:space="preserve"> </w:t>
      </w:r>
      <w:r>
        <w:t xml:space="preserve">Same pattern through a tool execution.</w:t>
      </w:r>
      <w:r>
        <w:t xml:space="preserve"> </w:t>
      </w:r>
      <w:r>
        <w:rPr>
          <w:rStyle w:val="VerbatimChar"/>
        </w:rPr>
        <w:t xml:space="preserve">external-requester</w:t>
      </w:r>
      <w:r>
        <w:t xml:space="preserve"> </w:t>
      </w:r>
      <w:r>
        <w:t xml:space="preserve">asked</w:t>
      </w:r>
      <w:r>
        <w:t xml:space="preserve"> </w:t>
      </w:r>
      <w:r>
        <w:rPr>
          <w:rStyle w:val="VerbatimChar"/>
        </w:rPr>
        <w:t xml:space="preserve">ops-agent</w:t>
      </w:r>
      <w:r>
        <w:t xml:space="preserve"> </w:t>
      </w:r>
      <w:r>
        <w:t xml:space="preserve">to execute the reconciler tool.</w:t>
      </w:r>
      <w:r>
        <w:t xml:space="preserve"> </w:t>
      </w:r>
      <w:r>
        <w:rPr>
          <w:rStyle w:val="VerbatimChar"/>
        </w:rPr>
        <w:t xml:space="preserve">ops-agent</w:t>
      </w:r>
      <w:r>
        <w:t xml:space="preserve"> </w:t>
      </w:r>
      <w:r>
        <w:t xml:space="preserve">holds</w:t>
      </w:r>
      <w:r>
        <w:t xml:space="preserve"> </w:t>
      </w:r>
      <w:r>
        <w:rPr>
          <w:rStyle w:val="VerbatimChar"/>
        </w:rPr>
        <w:t xml:space="preserve">execute_tool:reconciler:single</w:t>
      </w:r>
      <w:r>
        <w:t xml:space="preserve"> </w:t>
      </w:r>
      <w:r>
        <w:t xml:space="preserve">with the named-tool constraint, but request-origin binding caught the unauthorized origin.</w:t>
      </w:r>
      <w:r>
        <w:t xml:space="preserve"> </w:t>
      </w:r>
      <w:r>
        <w:rPr>
          <w:bCs/>
          <w:b/>
        </w:rPr>
        <w:t xml:space="preserve">Denied.</w:t>
      </w:r>
    </w:p>
    <w:p>
      <w:pPr>
        <w:pStyle w:val="BodyText"/>
      </w:pPr>
      <w:r>
        <w:rPr>
          <w:bCs/>
          <w:b/>
        </w:rPr>
        <w:t xml:space="preserve">B08 (chained):</w:t>
      </w:r>
      <w:r>
        <w:t xml:space="preserve"> </w:t>
      </w:r>
      <w:r>
        <w:rPr>
          <w:rStyle w:val="VerbatimChar"/>
        </w:rPr>
        <w:t xml:space="preserve">external-requester → analytics-agent → ops-agent</w:t>
      </w:r>
      <w:r>
        <w:t xml:space="preserve">. A delegation grant from</w:t>
      </w:r>
      <w:r>
        <w:t xml:space="preserve"> </w:t>
      </w:r>
      <w:r>
        <w:rPr>
          <w:rStyle w:val="VerbatimChar"/>
        </w:rPr>
        <w:t xml:space="preserve">analytics-agent</w:t>
      </w:r>
      <w:r>
        <w:t xml:space="preserve"> </w:t>
      </w:r>
      <w:r>
        <w:t xml:space="preserve">to</w:t>
      </w:r>
      <w:r>
        <w:t xml:space="preserve"> </w:t>
      </w:r>
      <w:r>
        <w:rPr>
          <w:rStyle w:val="VerbatimChar"/>
        </w:rPr>
        <w:t xml:space="preserve">ops-agent</w:t>
      </w:r>
      <w:r>
        <w:t xml:space="preserve"> </w:t>
      </w:r>
      <w:r>
        <w:t xml:space="preserve">exists, but the</w:t>
      </w:r>
      <w:r>
        <w:t xml:space="preserve"> </w:t>
      </w:r>
      <w:r>
        <w:rPr>
          <w:rStyle w:val="VerbatimChar"/>
        </w:rPr>
        <w:t xml:space="preserve">request_origin</w:t>
      </w:r>
      <w:r>
        <w:t xml:space="preserve"> </w:t>
      </w:r>
      <w:r>
        <w:t xml:space="preserve">is</w:t>
      </w:r>
      <w:r>
        <w:t xml:space="preserve"> </w:t>
      </w:r>
      <w:r>
        <w:rPr>
          <w:rStyle w:val="VerbatimChar"/>
        </w:rPr>
        <w:t xml:space="preserve">external-requester</w:t>
      </w:r>
      <w:r>
        <w:t xml:space="preserve">, and no delegation from</w:t>
      </w:r>
      <w:r>
        <w:t xml:space="preserve"> </w:t>
      </w:r>
      <w:r>
        <w:rPr>
          <w:rStyle w:val="VerbatimChar"/>
        </w:rPr>
        <w:t xml:space="preserve">external-requester</w:t>
      </w:r>
      <w:r>
        <w:t xml:space="preserve"> </w:t>
      </w:r>
      <w:r>
        <w:t xml:space="preserve">to</w:t>
      </w:r>
      <w:r>
        <w:t xml:space="preserve"> </w:t>
      </w:r>
      <w:r>
        <w:rPr>
          <w:rStyle w:val="VerbatimChar"/>
        </w:rPr>
        <w:t xml:space="preserve">ops-agent</w:t>
      </w:r>
      <w:r>
        <w:t xml:space="preserve"> </w:t>
      </w:r>
      <w:r>
        <w:t xml:space="preserve">exists. The intermediate delegation chain does not launder the unauthorized origin.</w:t>
      </w:r>
      <w:r>
        <w:t xml:space="preserve"> </w:t>
      </w:r>
      <w:r>
        <w:rPr>
          <w:bCs/>
          <w:b/>
        </w:rPr>
        <w:t xml:space="preserve">Denied.</w:t>
      </w:r>
    </w:p>
    <w:bookmarkEnd w:id="23"/>
    <w:bookmarkStart w:id="24" w:name="multi-agent-workflows-b09-b17"/>
    <w:p>
      <w:pPr>
        <w:pStyle w:val="Heading3"/>
      </w:pPr>
      <w:r>
        <w:t xml:space="preserve">Multi-Agent Workflows (B09, B17)</w:t>
      </w:r>
    </w:p>
    <w:p>
      <w:pPr>
        <w:pStyle w:val="FirstParagraph"/>
      </w:pPr>
      <w:r>
        <w:rPr>
          <w:bCs/>
          <w:b/>
        </w:rPr>
        <w:t xml:space="preserve">B09 (3-step cross-agent chain):</w:t>
      </w:r>
      <w:r>
        <w:t xml:space="preserve"> </w:t>
      </w:r>
      <w:r>
        <w:rPr>
          <w:rStyle w:val="VerbatimChar"/>
        </w:rPr>
        <w:t xml:space="preserve">ops-agent</w:t>
      </w:r>
      <w:r>
        <w:t xml:space="preserve"> </w:t>
      </w:r>
      <w:r>
        <w:t xml:space="preserve">reads finance data (self-originated),</w:t>
      </w:r>
      <w:r>
        <w:t xml:space="preserve"> </w:t>
      </w:r>
      <w:r>
        <w:rPr>
          <w:rStyle w:val="VerbatimChar"/>
        </w:rPr>
        <w:t xml:space="preserve">analytics-agent</w:t>
      </w:r>
      <w:r>
        <w:t xml:space="preserve"> </w:t>
      </w:r>
      <w:r>
        <w:t xml:space="preserve">generates a report (delegated by</w:t>
      </w:r>
      <w:r>
        <w:t xml:space="preserve"> </w:t>
      </w:r>
      <w:r>
        <w:rPr>
          <w:rStyle w:val="VerbatimChar"/>
        </w:rPr>
        <w:t xml:space="preserve">ops-agent</w:t>
      </w:r>
      <w:r>
        <w:t xml:space="preserve">, with matching delegation grant),</w:t>
      </w:r>
      <w:r>
        <w:t xml:space="preserve"> </w:t>
      </w:r>
      <w:r>
        <w:rPr>
          <w:rStyle w:val="VerbatimChar"/>
        </w:rPr>
        <w:t xml:space="preserve">ops-agent</w:t>
      </w:r>
      <w:r>
        <w:t xml:space="preserve"> </w:t>
      </w:r>
      <w:r>
        <w:t xml:space="preserve">transmits to partner API (self-originated). Each step authorized with proper grants and delegation.</w:t>
      </w:r>
      <w:r>
        <w:t xml:space="preserve"> </w:t>
      </w:r>
      <w:r>
        <w:rPr>
          <w:bCs/>
          <w:b/>
        </w:rPr>
        <w:t xml:space="preserve">Allowed.</w:t>
      </w:r>
    </w:p>
    <w:p>
      <w:pPr>
        <w:pStyle w:val="BodyText"/>
      </w:pPr>
      <w:r>
        <w:rPr>
          <w:bCs/>
          <w:b/>
        </w:rPr>
        <w:t xml:space="preserve">B17 (3-agent workflow):</w:t>
      </w:r>
      <w:r>
        <w:t xml:space="preserve"> </w:t>
      </w:r>
      <w:r>
        <w:rPr>
          <w:rStyle w:val="VerbatimChar"/>
        </w:rPr>
        <w:t xml:space="preserve">ops-agent</w:t>
      </w:r>
      <w:r>
        <w:t xml:space="preserve"> </w:t>
      </w:r>
      <w:r>
        <w:t xml:space="preserve">reads config,</w:t>
      </w:r>
      <w:r>
        <w:t xml:space="preserve"> </w:t>
      </w:r>
      <w:r>
        <w:rPr>
          <w:rStyle w:val="VerbatimChar"/>
        </w:rPr>
        <w:t xml:space="preserve">analytics-agent</w:t>
      </w:r>
      <w:r>
        <w:t xml:space="preserve"> </w:t>
      </w:r>
      <w:r>
        <w:t xml:space="preserve">generates a report (delegated by</w:t>
      </w:r>
      <w:r>
        <w:t xml:space="preserve"> </w:t>
      </w:r>
      <w:r>
        <w:rPr>
          <w:rStyle w:val="VerbatimChar"/>
        </w:rPr>
        <w:t xml:space="preserve">ops-agent</w:t>
      </w:r>
      <w:r>
        <w:t xml:space="preserve">),</w:t>
      </w:r>
      <w:r>
        <w:t xml:space="preserve"> </w:t>
      </w:r>
      <w:r>
        <w:rPr>
          <w:rStyle w:val="VerbatimChar"/>
        </w:rPr>
        <w:t xml:space="preserve">audit-agent</w:t>
      </w:r>
      <w:r>
        <w:t xml:space="preserve"> </w:t>
      </w:r>
      <w:r>
        <w:t xml:space="preserve">writes an audit log (delegated by</w:t>
      </w:r>
      <w:r>
        <w:t xml:space="preserve"> </w:t>
      </w:r>
      <w:r>
        <w:rPr>
          <w:rStyle w:val="VerbatimChar"/>
        </w:rPr>
        <w:t xml:space="preserve">analytics-agent</w:t>
      </w:r>
      <w:r>
        <w:t xml:space="preserve">). Three agents, two delegation hops, each with matching capability grants and delegation grants.</w:t>
      </w:r>
      <w:r>
        <w:t xml:space="preserve"> </w:t>
      </w:r>
      <w:r>
        <w:rPr>
          <w:bCs/>
          <w:b/>
        </w:rPr>
        <w:t xml:space="preserve">Allowed.</w:t>
      </w:r>
    </w:p>
    <w:p>
      <w:pPr>
        <w:pStyle w:val="BodyText"/>
      </w:pPr>
      <w:r>
        <w:t xml:space="preserve">These demonstrate that the composition defense does not break legitimate multi-agent work when delegation is explicit and each agent holds its own capability.</w:t>
      </w:r>
    </w:p>
    <w:bookmarkEnd w:id="24"/>
    <w:bookmarkStart w:id="25" w:name="privilege-laundering-b16"/>
    <w:p>
      <w:pPr>
        <w:pStyle w:val="Heading3"/>
      </w:pPr>
      <w:r>
        <w:t xml:space="preserve">Privilege Laundering (B16)</w:t>
      </w:r>
    </w:p>
    <w:p>
      <w:pPr>
        <w:pStyle w:val="FirstParagraph"/>
      </w:pPr>
      <w:r>
        <w:rPr>
          <w:rStyle w:val="VerbatimChar"/>
        </w:rPr>
        <w:t xml:space="preserve">external-requester</w:t>
      </w:r>
      <w:r>
        <w:t xml:space="preserve"> </w:t>
      </w:r>
      <w:r>
        <w:t xml:space="preserve">delegates to</w:t>
      </w:r>
      <w:r>
        <w:t xml:space="preserve"> </w:t>
      </w:r>
      <w:r>
        <w:rPr>
          <w:rStyle w:val="VerbatimChar"/>
        </w:rPr>
        <w:t xml:space="preserve">analytics-agent</w:t>
      </w:r>
      <w:r>
        <w:t xml:space="preserve">, who delegates to</w:t>
      </w:r>
      <w:r>
        <w:t xml:space="preserve"> </w:t>
      </w:r>
      <w:r>
        <w:rPr>
          <w:rStyle w:val="VerbatimChar"/>
        </w:rPr>
        <w:t xml:space="preserve">ops-agent</w:t>
      </w:r>
      <w:r>
        <w:t xml:space="preserve">. The</w:t>
      </w:r>
      <w:r>
        <w:t xml:space="preserve"> </w:t>
      </w:r>
      <w:r>
        <w:rPr>
          <w:rStyle w:val="VerbatimChar"/>
        </w:rPr>
        <w:t xml:space="preserve">request_origin</w:t>
      </w:r>
      <w:r>
        <w:t xml:space="preserve"> </w:t>
      </w:r>
      <w:r>
        <w:t xml:space="preserve">is</w:t>
      </w:r>
      <w:r>
        <w:t xml:space="preserve"> </w:t>
      </w:r>
      <w:r>
        <w:rPr>
          <w:rStyle w:val="VerbatimChar"/>
        </w:rPr>
        <w:t xml:space="preserve">external-requester</w:t>
      </w:r>
      <w:r>
        <w:t xml:space="preserve">. The authorization check looks for a delegation from</w:t>
      </w:r>
      <w:r>
        <w:t xml:space="preserve"> </w:t>
      </w:r>
      <w:r>
        <w:rPr>
          <w:rStyle w:val="VerbatimChar"/>
        </w:rPr>
        <w:t xml:space="preserve">external-requester</w:t>
      </w:r>
      <w:r>
        <w:t xml:space="preserve"> </w:t>
      </w:r>
      <w:r>
        <w:t xml:space="preserve">to</w:t>
      </w:r>
      <w:r>
        <w:t xml:space="preserve"> </w:t>
      </w:r>
      <w:r>
        <w:rPr>
          <w:rStyle w:val="VerbatimChar"/>
        </w:rPr>
        <w:t xml:space="preserve">ops-agent</w:t>
      </w:r>
      <w:r>
        <w:t xml:space="preserve"> </w:t>
      </w:r>
      <w:r>
        <w:t xml:space="preserve">— which does not exist. The intermediate delegation chain does not create a transitive delegation path.</w:t>
      </w:r>
      <w:r>
        <w:t xml:space="preserve"> </w:t>
      </w:r>
      <w:r>
        <w:rPr>
          <w:bCs/>
          <w:b/>
        </w:rPr>
        <w:t xml:space="preserve">Denied.</w:t>
      </w:r>
      <w:r>
        <w:t xml:space="preserve"> </w:t>
      </w:r>
      <w:r>
        <w:t xml:space="preserve">Delegation is not transitive; each hop requires its own explicit grant.</w:t>
      </w:r>
    </w:p>
    <w:bookmarkEnd w:id="25"/>
    <w:bookmarkEnd w:id="26"/>
    <w:bookmarkStart w:id="27" w:name="relationship-to-prior-experiments"/>
    <w:p>
      <w:pPr>
        <w:pStyle w:val="Heading2"/>
      </w:pPr>
      <w:r>
        <w:t xml:space="preserve">Relationship to Prior Experiments</w:t>
      </w:r>
    </w:p>
    <w:tbl>
      <w:tblPr>
        <w:tblStyle w:val="Table"/>
        <w:tblW w:type="pct" w:w="5000"/>
        <w:tblLook w:firstRow="1" w:lastRow="0" w:firstColumn="0" w:lastColumn="0" w:noHBand="0" w:noVBand="0" w:val="0020"/>
      </w:tblPr>
      <w:tblGrid>
        <w:gridCol w:w="3168"/>
        <w:gridCol w:w="2640"/>
        <w:gridCol w:w="2112"/>
      </w:tblGrid>
      <w:tr>
        <w:trPr>
          <w:tblHeader w:val="true"/>
        </w:trPr>
        <w:tc>
          <w:tcPr/>
          <w:p>
            <w:pPr>
              <w:pStyle w:val="Compact"/>
              <w:jc w:val="left"/>
            </w:pPr>
            <w:r>
              <w:t xml:space="preserve">Experiment</w:t>
            </w:r>
          </w:p>
        </w:tc>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IB-001</w:t>
            </w:r>
          </w:p>
        </w:tc>
        <w:tc>
          <w:tcPr/>
          <w:p>
            <w:pPr>
              <w:pStyle w:val="Compact"/>
              <w:jc w:val="left"/>
            </w:pPr>
            <w:r>
              <w:t xml:space="preserve">Can the pipeline distinguish synonyms from drift?</w:t>
            </w:r>
          </w:p>
        </w:tc>
        <w:tc>
          <w:tcPr/>
          <w:p>
            <w:pPr>
              <w:pStyle w:val="Compact"/>
              <w:jc w:val="left"/>
            </w:pPr>
            <w:r>
              <w:t xml:space="preserve">FAIL (K2: authority synonym gap)</w:t>
            </w:r>
          </w:p>
        </w:tc>
      </w:tr>
      <w:tr>
        <w:tc>
          <w:tcPr/>
          <w:p>
            <w:pPr>
              <w:pStyle w:val="Compact"/>
              <w:jc w:val="left"/>
            </w:pPr>
            <w:r>
              <w:t xml:space="preserve">IB-002</w:t>
            </w:r>
          </w:p>
        </w:tc>
        <w:tc>
          <w:tcPr/>
          <w:p>
            <w:pPr>
              <w:pStyle w:val="Compact"/>
              <w:jc w:val="left"/>
            </w:pPr>
            <w:r>
              <w:t xml:space="preserve">Does normalization solve aliases without expansion?</w:t>
            </w:r>
          </w:p>
        </w:tc>
        <w:tc>
          <w:tcPr/>
          <w:p>
            <w:pPr>
              <w:pStyle w:val="Compact"/>
              <w:jc w:val="left"/>
            </w:pPr>
            <w:r>
              <w:t xml:space="preserve">FAIL (K3: test-design conflation)</w:t>
            </w:r>
          </w:p>
        </w:tc>
      </w:tr>
      <w:tr>
        <w:tc>
          <w:tcPr/>
          <w:p>
            <w:pPr>
              <w:pStyle w:val="Compact"/>
              <w:jc w:val="left"/>
            </w:pPr>
            <w:r>
              <w:t xml:space="preserve">IB-003</w:t>
            </w:r>
          </w:p>
        </w:tc>
        <w:tc>
          <w:tcPr/>
          <w:p>
            <w:pPr>
              <w:pStyle w:val="Compact"/>
              <w:jc w:val="left"/>
            </w:pPr>
            <w:r>
              <w:t xml:space="preserve">Does remediated pipeline fix false blocks + preserve drift detection?</w:t>
            </w:r>
          </w:p>
        </w:tc>
        <w:tc>
          <w:tcPr/>
          <w:p>
            <w:pPr>
              <w:pStyle w:val="Compact"/>
              <w:jc w:val="left"/>
            </w:pPr>
            <w:r>
              <w:t xml:space="preserve">PASS (12/12)</w:t>
            </w:r>
          </w:p>
        </w:tc>
      </w:tr>
      <w:tr>
        <w:tc>
          <w:tcPr/>
          <w:p>
            <w:pPr>
              <w:pStyle w:val="Compact"/>
              <w:jc w:val="left"/>
            </w:pPr>
            <w:r>
              <w:t xml:space="preserve">AUTH-001</w:t>
            </w:r>
          </w:p>
        </w:tc>
        <w:tc>
          <w:tcPr/>
          <w:p>
            <w:pPr>
              <w:pStyle w:val="Compact"/>
              <w:jc w:val="left"/>
            </w:pPr>
            <w:r>
              <w:t xml:space="preserve">Can the flat grant be replaced with narrow capabilities?</w:t>
            </w:r>
          </w:p>
        </w:tc>
        <w:tc>
          <w:tcPr/>
          <w:p>
            <w:pPr>
              <w:pStyle w:val="Compact"/>
              <w:jc w:val="left"/>
            </w:pPr>
            <w:r>
              <w:t xml:space="preserve">PASS (18/18)</w:t>
            </w:r>
          </w:p>
        </w:tc>
      </w:tr>
      <w:tr>
        <w:tc>
          <w:tcPr/>
          <w:p>
            <w:pPr>
              <w:pStyle w:val="Compact"/>
              <w:jc w:val="left"/>
            </w:pPr>
            <w:r>
              <w:rPr>
                <w:bCs/>
                <w:b/>
              </w:rPr>
              <w:t xml:space="preserve">AUTH-002</w:t>
            </w:r>
          </w:p>
        </w:tc>
        <w:tc>
          <w:tcPr/>
          <w:p>
            <w:pPr>
              <w:pStyle w:val="Compact"/>
              <w:jc w:val="left"/>
            </w:pPr>
            <w:r>
              <w:rPr>
                <w:bCs/>
                <w:b/>
              </w:rPr>
              <w:t xml:space="preserve">Do narrow capabilities stay safe when composed across agents?</w:t>
            </w:r>
          </w:p>
        </w:tc>
        <w:tc>
          <w:tcPr/>
          <w:p>
            <w:pPr>
              <w:pStyle w:val="Compact"/>
              <w:jc w:val="left"/>
            </w:pPr>
            <w:r>
              <w:rPr>
                <w:bCs/>
                <w:b/>
              </w:rPr>
              <w:t xml:space="preserve">PASS (18/18)</w:t>
            </w:r>
          </w:p>
        </w:tc>
      </w:tr>
    </w:tbl>
    <w:p>
      <w:pPr>
        <w:pStyle w:val="BodyText"/>
      </w:pPr>
      <w:r>
        <w:t xml:space="preserve">The three layers are now connected:</w:t>
      </w:r>
      <w:r>
        <w:t xml:space="preserve"> </w:t>
      </w:r>
      <w:r>
        <w:t xml:space="preserve">-</w:t>
      </w:r>
      <w:r>
        <w:t xml:space="preserve"> </w:t>
      </w:r>
      <w:r>
        <w:rPr>
          <w:bCs/>
          <w:b/>
        </w:rPr>
        <w:t xml:space="preserve">Intent integrity</w:t>
      </w:r>
      <w:r>
        <w:t xml:space="preserve"> </w:t>
      </w:r>
      <w:r>
        <w:t xml:space="preserve">(IB): intent must remain faithful through the pipeline.</w:t>
      </w:r>
      <w:r>
        <w:t xml:space="preserve"> </w:t>
      </w:r>
      <w:r>
        <w:t xml:space="preserve">-</w:t>
      </w:r>
      <w:r>
        <w:t xml:space="preserve"> </w:t>
      </w:r>
      <w:r>
        <w:rPr>
          <w:bCs/>
          <w:b/>
        </w:rPr>
        <w:t xml:space="preserve">Authority integrity</w:t>
      </w:r>
      <w:r>
        <w:t xml:space="preserve"> </w:t>
      </w:r>
      <w:r>
        <w:t xml:space="preserve">(AUTH-001): authority must remain narrow per actor.</w:t>
      </w:r>
      <w:r>
        <w:t xml:space="preserve"> </w:t>
      </w:r>
      <w:r>
        <w:t xml:space="preserve">-</w:t>
      </w:r>
      <w:r>
        <w:t xml:space="preserve"> </w:t>
      </w:r>
      <w:r>
        <w:rPr>
          <w:bCs/>
          <w:b/>
        </w:rPr>
        <w:t xml:space="preserve">Composition safety</w:t>
      </w:r>
      <w:r>
        <w:t xml:space="preserve"> </w:t>
      </w:r>
      <w:r>
        <w:t xml:space="preserve">(AUTH-002): narrow authority must survive delegation, chaining, and confused-deputy pressure.</w:t>
      </w:r>
    </w:p>
    <w:p>
      <w:pPr>
        <w:pStyle w:val="BodyText"/>
      </w:pPr>
      <w:r>
        <w:t xml:space="preserve">Each result is bounded to its preregistered test set. Together they form an emerging experimental argument, not a proof of general security.</w:t>
      </w:r>
    </w:p>
    <w:bookmarkEnd w:id="27"/>
    <w:bookmarkStart w:id="28" w:name="bounded-claim"/>
    <w:p>
      <w:pPr>
        <w:pStyle w:val="Heading2"/>
      </w:pPr>
      <w:r>
        <w:t xml:space="preserve">Bounded Claim</w:t>
      </w:r>
    </w:p>
    <w:p>
      <w:pPr>
        <w:pStyle w:val="FirstParagraph"/>
      </w:pPr>
      <w:r>
        <w:t xml:space="preserve">AUTH-002 passed all 18 preregistered cases. The capability-grant model with request-origin binding, explicit delegation grants, and grant freshness denied every tested composition-level threat — including all three confused-deputy variants, all delegation leaks, the scope-intersection attack, and the privilege-laundering chain — while permitting every tested legitimate multi-agent workflow that operated within its declared delegated capabilities. Zero privilege expansions, zero grant broadening. The result is limited to this preregistered test set and does not establish general composition safety.</w:t>
      </w:r>
    </w:p>
    <w:bookmarkEnd w:id="28"/>
    <w:bookmarkStart w:id="29" w:name="artifacts"/>
    <w:p>
      <w:pPr>
        <w:pStyle w:val="Heading2"/>
      </w:pPr>
      <w:r>
        <w:t xml:space="preserve">Artifacts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PREREGISTRATION.md</w:t>
            </w:r>
          </w:p>
        </w:tc>
        <w:tc>
          <w:tcPr/>
          <w:p>
            <w:pPr>
              <w:pStyle w:val="Compact"/>
              <w:jc w:val="left"/>
            </w:pPr>
            <w:r>
              <w:t xml:space="preserve">Locked preregistration (SHA-256 verified)</w:t>
            </w:r>
          </w:p>
        </w:tc>
      </w:tr>
      <w:tr>
        <w:tc>
          <w:tcPr/>
          <w:p>
            <w:pPr>
              <w:pStyle w:val="Compact"/>
              <w:jc w:val="left"/>
            </w:pPr>
            <w:r>
              <w:rPr>
                <w:rStyle w:val="VerbatimChar"/>
              </w:rPr>
              <w:t xml:space="preserve">run_auth002.py</w:t>
            </w:r>
          </w:p>
        </w:tc>
        <w:tc>
          <w:tcPr/>
          <w:p>
            <w:pPr>
              <w:pStyle w:val="Compact"/>
              <w:jc w:val="left"/>
            </w:pPr>
            <w:r>
              <w:t xml:space="preserve">Deterministic runner (no LLM judge)</w:t>
            </w:r>
          </w:p>
        </w:tc>
      </w:tr>
      <w:tr>
        <w:tc>
          <w:tcPr/>
          <w:p>
            <w:pPr>
              <w:pStyle w:val="Compact"/>
              <w:jc w:val="left"/>
            </w:pPr>
            <w:r>
              <w:rPr>
                <w:rStyle w:val="VerbatimChar"/>
              </w:rPr>
              <w:t xml:space="preserve">auth002_results.json</w:t>
            </w:r>
          </w:p>
        </w:tc>
        <w:tc>
          <w:tcPr/>
          <w:p>
            <w:pPr>
              <w:pStyle w:val="Compact"/>
              <w:jc w:val="left"/>
            </w:pPr>
            <w:r>
              <w:t xml:space="preserve">Full case-by-case results with audit trails</w:t>
            </w:r>
          </w:p>
        </w:tc>
      </w:tr>
      <w:tr>
        <w:tc>
          <w:tcPr/>
          <w:p>
            <w:pPr>
              <w:pStyle w:val="Compact"/>
              <w:jc w:val="left"/>
            </w:pPr>
            <w:r>
              <w:rPr>
                <w:rStyle w:val="VerbatimChar"/>
              </w:rPr>
              <w:t xml:space="preserve">proofrecord_auth002.json</w:t>
            </w:r>
          </w:p>
        </w:tc>
        <w:tc>
          <w:tcPr/>
          <w:p>
            <w:pPr>
              <w:pStyle w:val="Compact"/>
              <w:jc w:val="left"/>
            </w:pPr>
            <w:r>
              <w:t xml:space="preserve">Self-verifying ProofRecord with hash chain</w:t>
            </w:r>
          </w:p>
        </w:tc>
      </w:tr>
      <w:tr>
        <w:tc>
          <w:tcPr/>
          <w:p>
            <w:pPr>
              <w:pStyle w:val="Compact"/>
              <w:jc w:val="left"/>
            </w:pPr>
            <w:r>
              <w:rPr>
                <w:rStyle w:val="VerbatimChar"/>
              </w:rPr>
              <w:t xml:space="preserve">auth002_ledger.jsonl</w:t>
            </w:r>
          </w:p>
        </w:tc>
        <w:tc>
          <w:tcPr/>
          <w:p>
            <w:pPr>
              <w:pStyle w:val="Compact"/>
              <w:jc w:val="left"/>
            </w:pPr>
            <w:r>
              <w:t xml:space="preserve">One line per case for programmatic consumption</w:t>
            </w:r>
          </w:p>
        </w:tc>
      </w:tr>
      <w:tr>
        <w:tc>
          <w:tcPr/>
          <w:p>
            <w:pPr>
              <w:pStyle w:val="Compact"/>
              <w:jc w:val="left"/>
            </w:pPr>
            <w:r>
              <w:rPr>
                <w:rStyle w:val="VerbatimChar"/>
              </w:rPr>
              <w:t xml:space="preserve">MANIFEST.sha256</w:t>
            </w:r>
          </w:p>
        </w:tc>
        <w:tc>
          <w:tcPr/>
          <w:p>
            <w:pPr>
              <w:pStyle w:val="Compact"/>
              <w:jc w:val="left"/>
            </w:pPr>
            <w:r>
              <w:t xml:space="preserve">SHA-256 hashes of all artifacts</w:t>
            </w:r>
          </w:p>
        </w:tc>
      </w:tr>
    </w:tbl>
    <w:bookmarkEnd w:id="29"/>
    <w:bookmarkStart w:id="30" w:name="scientific-discipline"/>
    <w:p>
      <w:pPr>
        <w:pStyle w:val="Heading2"/>
      </w:pPr>
      <w:r>
        <w:t xml:space="preserve">Scientific Discipline</w:t>
      </w:r>
    </w:p>
    <w:p>
      <w:pPr>
        <w:numPr>
          <w:ilvl w:val="0"/>
          <w:numId w:val="1001"/>
        </w:numPr>
        <w:pStyle w:val="Compact"/>
      </w:pPr>
      <w:r>
        <w:t xml:space="preserve">Preregistration locked before execution. SHA-256 hash recorded before implementation.</w:t>
      </w:r>
    </w:p>
    <w:p>
      <w:pPr>
        <w:numPr>
          <w:ilvl w:val="0"/>
          <w:numId w:val="1001"/>
        </w:numPr>
        <w:pStyle w:val="Compact"/>
      </w:pPr>
      <w:r>
        <w:t xml:space="preserve">All verdicts preserved regardless of outcome.</w:t>
      </w:r>
    </w:p>
    <w:p>
      <w:pPr>
        <w:numPr>
          <w:ilvl w:val="0"/>
          <w:numId w:val="1001"/>
        </w:numPr>
        <w:pStyle w:val="Compact"/>
      </w:pPr>
      <w:r>
        <w:t xml:space="preserve">The synonym map was not modified after seeing results.</w:t>
      </w:r>
    </w:p>
    <w:p>
      <w:pPr>
        <w:numPr>
          <w:ilvl w:val="0"/>
          <w:numId w:val="1001"/>
        </w:numPr>
        <w:pStyle w:val="Compact"/>
      </w:pPr>
      <w:r>
        <w:t xml:space="preserve">IB-001 remains FAIL. IB-002 remains FAIL. IB-003 remains PASS. AUTH-001 remains PASS.</w:t>
      </w:r>
    </w:p>
    <w:p>
      <w:pPr>
        <w:numPr>
          <w:ilvl w:val="0"/>
          <w:numId w:val="1001"/>
        </w:numPr>
        <w:pStyle w:val="Compact"/>
      </w:pPr>
      <w:r>
        <w:t xml:space="preserve">Internal/founder-led experiment; independent academic validation is the next phase.</w:t>
      </w:r>
    </w:p>
    <w:p>
      <w:pPr>
        <w:numPr>
          <w:ilvl w:val="0"/>
          <w:numId w:val="1001"/>
        </w:numPr>
        <w:pStyle w:val="Compact"/>
      </w:pPr>
      <w:r>
        <w:t xml:space="preserve">Honest failures are scientifically valuable. This experiment happened to pass, but the discipline that would have preserved a failure is the same discipline that makes this pass credible.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2026-08-16T03:51:26Z</dcterms:created>
  <dcterms:modified xsi:type="dcterms:W3CDTF">2026-08-16T03:51:26Z</dcterms:modified>
</cp:coreProperties>
</file>

<file path=docProps/custom.xml><?xml version="1.0" encoding="utf-8"?>
<Properties xmlns="http://schemas.openxmlformats.org/officeDocument/2006/custom-properties" xmlns:vt="http://schemas.openxmlformats.org/officeDocument/2006/docPropsVTypes"/>
</file>