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924be4612c17b3b9e6fb1aba37545d8f97ba4a"/>
    <w:p>
      <w:pPr>
        <w:pStyle w:val="Heading1"/>
      </w:pPr>
      <w:r>
        <w:t xml:space="preserve">AUTH-001 Results — Least-Privilege Authority Grant Partitioning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AUTH-001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Authority Partitioning (AUTH)</w:t>
      </w:r>
      <w:r>
        <w:br/>
      </w:r>
      <w:r>
        <w:rPr>
          <w:bCs/>
          <w:b/>
        </w:rPr>
        <w:t xml:space="preserve">Date executed:</w:t>
      </w:r>
      <w:r>
        <w:t xml:space="preserve"> </w:t>
      </w:r>
      <w:r>
        <w:t xml:space="preserve">2026-08-16</w:t>
      </w:r>
      <w:r>
        <w:br/>
      </w: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(strong positive — 18/18, all kill conditions clear)</w:t>
      </w:r>
      <w:r>
        <w:br/>
      </w:r>
      <w:r>
        <w:rPr>
          <w:bCs/>
          <w:b/>
        </w:rPr>
        <w:t xml:space="preserve">Preregistration hash:</w:t>
      </w:r>
      <w:r>
        <w:t xml:space="preserve"> </w:t>
      </w:r>
      <w:r>
        <w:rPr>
          <w:rStyle w:val="VerbatimChar"/>
        </w:rPr>
        <w:t xml:space="preserve">a8bf62a5b0ada334680190948eac7d656a241215e7962b19fda1b811feaa56a8</w:t>
      </w:r>
      <w:r>
        <w:br/>
      </w:r>
      <w:r>
        <w:rPr>
          <w:bCs/>
          <w:b/>
        </w:rPr>
        <w:t xml:space="preserve">ProofRecord final hash:</w:t>
      </w:r>
      <w:r>
        <w:t xml:space="preserve"> </w:t>
      </w:r>
      <w:r>
        <w:rPr>
          <w:rStyle w:val="VerbatimChar"/>
        </w:rPr>
        <w:t xml:space="preserve">cae5568cfbe6b9dd2098c3938360184c01a4583bd7157867723c31bcd6bddc1a</w:t>
      </w:r>
      <w:r>
        <w:br/>
      </w:r>
      <w:r>
        <w:rPr>
          <w:bCs/>
          <w:b/>
        </w:rPr>
        <w:t xml:space="preserve">Governing sentence:</w:t>
      </w:r>
      <w:r>
        <w:t xml:space="preserve"> </w:t>
      </w:r>
      <w:r>
        <w:t xml:space="preserve">“</w:t>
      </w:r>
      <w:r>
        <w:t xml:space="preserve">We will accept the result that is true, not the result we hoped to see.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AUTH-001 replaced the flat</w:t>
      </w:r>
      <w:r>
        <w:t xml:space="preserve"> </w:t>
      </w:r>
      <w:r>
        <w:rPr>
          <w:rStyle w:val="VerbatimChar"/>
        </w:rPr>
        <w:t xml:space="preserve">allowed_action_types</w:t>
      </w:r>
      <w:r>
        <w:t xml:space="preserve"> </w:t>
      </w:r>
      <w:r>
        <w:t xml:space="preserve">list used throughout the IB series with</w:t>
      </w:r>
      <w:r>
        <w:t xml:space="preserve"> </w:t>
      </w:r>
      <w:r>
        <w:rPr>
          <w:bCs/>
          <w:b/>
        </w:rPr>
        <w:t xml:space="preserve">narrow capability grants</w:t>
      </w:r>
      <w:r>
        <w:t xml:space="preserve"> </w:t>
      </w:r>
      <w:r>
        <w:t xml:space="preserve">scoped by (actor, action_type, resource_class, scope, constraints). The 18 preregistered cases tested whether this partitioning could block unauthorized actions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permit legitimate multi-step workflows using only their declared minimum capabilities — without forcing broad</w:t>
      </w:r>
      <w:r>
        <w:t xml:space="preserve"> </w:t>
      </w:r>
      <w:r>
        <w:t xml:space="preserve">“</w:t>
      </w:r>
      <w:r>
        <w:t xml:space="preserve">just in case</w:t>
      </w:r>
      <w:r>
        <w:t xml:space="preserve">”</w:t>
      </w:r>
      <w:r>
        <w:t xml:space="preserve"> </w:t>
      </w:r>
      <w:r>
        <w:t xml:space="preserve">grants.</w:t>
      </w:r>
    </w:p>
    <w:p>
      <w:pPr>
        <w:pStyle w:val="BodyText"/>
      </w:pPr>
      <w:r>
        <w:rPr>
          <w:bCs/>
          <w:b/>
        </w:rPr>
        <w:t xml:space="preserve">Result: 18/18 correct. Zero privilege expansions. Zero grants broadened.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Legitimate ALLOW (single 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Legitimate ALLOW (multi-capability workflow)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Missing/mismatched/substituted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Accidental-inheritance probes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expansions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Grants broadened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conditions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0"/>
    <w:bookmarkStart w:id="21" w:name="per-case-results"/>
    <w:p>
      <w:pPr>
        <w:pStyle w:val="Heading2"/>
      </w:pPr>
      <w:r>
        <w:t xml:space="preserve">Per-Case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841"/>
        <w:gridCol w:w="1841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low-risk — read finance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low-risk — generate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write — write to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write — missing grant (read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delete — delete with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delete — missing grant (write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transmission — with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transmission — missing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execution — batch with batch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via single grant — scope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execution — named tool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substitution — different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substitution — read→write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Composed chain (3-step) — all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Composed chain — transmit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inheritance — finance→stale-jobs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Multi-capability workflow (4-step) — all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Resource-class boundary — wrong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21"/>
    <w:bookmarkStart w:id="22" w:name="kill-condition-evaluation"/>
    <w:p>
      <w:pPr>
        <w:pStyle w:val="Heading2"/>
      </w:pPr>
      <w:r>
        <w:t xml:space="preserve">Kill Condition Evaluation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941"/>
        <w:gridCol w:w="1810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 breaks legitimate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legitimate cases (A01–A03, A05, A07, A09, A11, A14, A17) returned ALLOW while holding exactly their declared minimal capabilities.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leak / accidental inheritance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deny cases (A04, A06, A08, A10, A12, A13, A15, A16, A18) returned DENY. No action succeeded without a matching held capability.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Just in case</w:t>
            </w:r>
            <w:r>
              <w:t xml:space="preserve">”</w:t>
            </w:r>
            <w:r>
              <w:t xml:space="preserve"> </w:t>
            </w:r>
            <w:r>
              <w:t xml:space="preserve">breadth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ALLOW was achieved using exactly the preregistered grants. No grant was broadened beyond its declared minimal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expands privilege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privilege expansions detected across all 18 cases. Normalization used the IB-series WORDING_EQUIVALENCES map unchanged; no new synonym behavior introduced.</w:t>
            </w:r>
          </w:p>
        </w:tc>
      </w:tr>
    </w:tbl>
    <w:bookmarkEnd w:id="22"/>
    <w:bookmarkStart w:id="23" w:name="Xbd3895cbc3cdf25574a205a820c0b8abff1b817"/>
    <w:p>
      <w:pPr>
        <w:pStyle w:val="Heading2"/>
      </w:pPr>
      <w:r>
        <w:t xml:space="preserve">Load-Bearing Cases: Multi-Capability Workflows</w:t>
      </w:r>
    </w:p>
    <w:p>
      <w:pPr>
        <w:pStyle w:val="FirstParagraph"/>
      </w:pPr>
      <w:r>
        <w:t xml:space="preserve">The two multi-capability workflow cases (A14, A17) are the load-bearing test of the hypothesis. These are the cases where flat-grant defenders argue that least privilege will fail because users</w:t>
      </w:r>
      <w:r>
        <w:t xml:space="preserve"> </w:t>
      </w:r>
      <w:r>
        <w:t xml:space="preserve">“</w:t>
      </w:r>
      <w:r>
        <w:t xml:space="preserve">need</w:t>
      </w:r>
      <w:r>
        <w:t xml:space="preserve">”</w:t>
      </w:r>
      <w:r>
        <w:t xml:space="preserve"> </w:t>
      </w:r>
      <w:r>
        <w:t xml:space="preserve">broad authority to get real work done.</w:t>
      </w:r>
    </w:p>
    <w:p>
      <w:pPr>
        <w:pStyle w:val="BodyText"/>
      </w:pPr>
      <w:r>
        <w:rPr>
          <w:bCs/>
          <w:b/>
        </w:rPr>
        <w:t xml:space="preserve">A14 (3-step chain: read → generate → transmit):</w:t>
      </w:r>
      <w:r>
        <w:t xml:space="preserve"> </w:t>
      </w:r>
      <w:r>
        <w:t xml:space="preserve">Actor held three narrow grants, each scoped to the exact resource class and action type needed for its step. All three steps authorized. Chain passed.</w:t>
      </w:r>
    </w:p>
    <w:p>
      <w:pPr>
        <w:pStyle w:val="BodyText"/>
      </w:pPr>
      <w:r>
        <w:rPr>
          <w:bCs/>
          <w:b/>
        </w:rPr>
        <w:t xml:space="preserve">A17 (4-step workflow: read → write → generate → transmit):</w:t>
      </w:r>
      <w:r>
        <w:t xml:space="preserve"> </w:t>
      </w:r>
      <w:r>
        <w:t xml:space="preserve">Actor held four narrow grants spanning two different resource classes (</w:t>
      </w:r>
      <w:r>
        <w:rPr>
          <w:rStyle w:val="VerbatimChar"/>
        </w:rPr>
        <w:t xml:space="preserve">ops-config</w:t>
      </w:r>
      <w:r>
        <w:t xml:space="preserve"> </w:t>
      </w:r>
      <w:r>
        <w:t xml:space="preserve">for read/write/generate,</w:t>
      </w:r>
      <w:r>
        <w:t xml:space="preserve"> </w:t>
      </w:r>
      <w:r>
        <w:rPr>
          <w:rStyle w:val="VerbatimChar"/>
        </w:rPr>
        <w:t xml:space="preserve">audit-api</w:t>
      </w:r>
      <w:r>
        <w:t xml:space="preserve"> </w:t>
      </w:r>
      <w:r>
        <w:t xml:space="preserve">for transmit). All four steps authorized. Workflow passed.</w:t>
      </w:r>
    </w:p>
    <w:p>
      <w:pPr>
        <w:pStyle w:val="BodyText"/>
      </w:pPr>
      <w:r>
        <w:t xml:space="preserve">In both cases, the workflow functioned with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its declared minimum capabilities — no</w:t>
      </w:r>
      <w:r>
        <w:t xml:space="preserve"> </w:t>
      </w:r>
      <w:r>
        <w:t xml:space="preserve">“</w:t>
      </w:r>
      <w:r>
        <w:t xml:space="preserve">just in case</w:t>
      </w:r>
      <w:r>
        <w:t xml:space="preserve">”</w:t>
      </w:r>
      <w:r>
        <w:t xml:space="preserve"> </w:t>
      </w:r>
      <w:r>
        <w:t xml:space="preserve">broadening was needed.</w:t>
      </w:r>
    </w:p>
    <w:bookmarkEnd w:id="23"/>
    <w:bookmarkStart w:id="24" w:name="accidental-inheritance-invariant"/>
    <w:p>
      <w:pPr>
        <w:pStyle w:val="Heading2"/>
      </w:pPr>
      <w:r>
        <w:t xml:space="preserve">Accidental-Inheritance Invariant</w:t>
      </w:r>
    </w:p>
    <w:p>
      <w:pPr>
        <w:pStyle w:val="FirstParagraph"/>
      </w:pPr>
      <w:r>
        <w:rPr>
          <w:bCs/>
          <w:b/>
        </w:rPr>
        <w:t xml:space="preserve">A15:</w:t>
      </w:r>
      <w:r>
        <w:t xml:space="preserve"> </w:t>
      </w:r>
      <w:r>
        <w:t xml:space="preserve">Holding read + generate (finance-reports class) did not inherit transmit (partner-api class). The chain correctly failed at the transmit step.</w:t>
      </w:r>
    </w:p>
    <w:p>
      <w:pPr>
        <w:pStyle w:val="BodyText"/>
      </w:pPr>
      <w:r>
        <w:rPr>
          <w:bCs/>
          <w:b/>
        </w:rPr>
        <w:t xml:space="preserve">A16:</w:t>
      </w:r>
      <w:r>
        <w:t xml:space="preserve"> </w:t>
      </w:r>
      <w:r>
        <w:t xml:space="preserve">Holding every capability in the finance-reports class (read, write, generate, transmit, delete) did not inherit delete on the stale-jobs class. Resource-class boundaries are hard walls, not permeable membranes. Having all five capabilities in one class grants exactly zero authority in another.</w:t>
      </w:r>
    </w:p>
    <w:bookmarkEnd w:id="24"/>
    <w:bookmarkStart w:id="25" w:name="relationship-to-ib-series"/>
    <w:p>
      <w:pPr>
        <w:pStyle w:val="Heading2"/>
      </w:pPr>
      <w:r>
        <w:t xml:space="preserve">Relationship to IB Series</w:t>
      </w:r>
    </w:p>
    <w:p>
      <w:pPr>
        <w:pStyle w:val="FirstParagraph"/>
      </w:pPr>
      <w:r>
        <w:t xml:space="preserve">AUTH-001 does not re-open IB-001/002/003. The IB sequence tested</w:t>
      </w:r>
      <w:r>
        <w:t xml:space="preserve"> </w:t>
      </w:r>
      <w:r>
        <w:rPr>
          <w:bCs/>
          <w:b/>
        </w:rPr>
        <w:t xml:space="preserve">normalization safety</w:t>
      </w:r>
      <w:r>
        <w:t xml:space="preserve"> </w:t>
      </w:r>
      <w:r>
        <w:t xml:space="preserve">(can synonyms be canonicalized without expanding privilege?) within a frozen flat grant. AUTH-001 tests a</w:t>
      </w:r>
      <w:r>
        <w:t xml:space="preserve"> </w:t>
      </w:r>
      <w:r>
        <w:rPr>
          <w:bCs/>
          <w:b/>
        </w:rPr>
        <w:t xml:space="preserve">different fixture</w:t>
      </w:r>
      <w:r>
        <w:t xml:space="preserve">: whether the flat grant itself can be replaced with narrow capabilities.</w:t>
      </w:r>
    </w:p>
    <w:p>
      <w:pPr>
        <w:pStyle w:val="BodyText"/>
      </w:pPr>
      <w:r>
        <w:t xml:space="preserve">The two questions are independent and complementary:</w:t>
      </w:r>
      <w:r>
        <w:t xml:space="preserve"> </w:t>
      </w:r>
      <w:r>
        <w:t xml:space="preserve">- IB:</w:t>
      </w:r>
      <w:r>
        <w:t xml:space="preserve"> </w:t>
      </w:r>
      <w:r>
        <w:t xml:space="preserve">“</w:t>
      </w:r>
      <w:r>
        <w:t xml:space="preserve">Given a flat grant, does the pipeline correctly distinguish legitimate synonym use from semantic drift?</w:t>
      </w:r>
      <w:r>
        <w:t xml:space="preserve">”</w:t>
      </w:r>
      <w:r>
        <w:t xml:space="preserve"> </w:t>
      </w:r>
      <w:r>
        <w:t xml:space="preserve">(IB-003: yes, within 12 preregistered cases)</w:t>
      </w:r>
      <w:r>
        <w:t xml:space="preserve"> </w:t>
      </w:r>
      <w:r>
        <w:t xml:space="preserve">- AUTH:</w:t>
      </w:r>
      <w:r>
        <w:t xml:space="preserve"> </w:t>
      </w:r>
      <w:r>
        <w:t xml:space="preserve">“</w:t>
      </w:r>
      <w:r>
        <w:t xml:space="preserve">Can the flat grant itself be narrowed without breaking legitimate work?</w:t>
      </w:r>
      <w:r>
        <w:t xml:space="preserve">”</w:t>
      </w:r>
      <w:r>
        <w:t xml:space="preserve"> </w:t>
      </w:r>
      <w:r>
        <w:t xml:space="preserve">(AUTH-001: yes, within 18 preregistered cases)</w:t>
      </w:r>
    </w:p>
    <w:p>
      <w:pPr>
        <w:pStyle w:val="BodyText"/>
      </w:pPr>
      <w:r>
        <w:t xml:space="preserve">Neither result generalizes beyond its preregistered test set.</w:t>
      </w:r>
    </w:p>
    <w:bookmarkEnd w:id="25"/>
    <w:bookmarkStart w:id="26" w:name="bounded-claim"/>
    <w:p>
      <w:pPr>
        <w:pStyle w:val="Heading2"/>
      </w:pPr>
      <w:r>
        <w:t xml:space="preserve">Bounded Claim</w:t>
      </w:r>
    </w:p>
    <w:p>
      <w:pPr>
        <w:pStyle w:val="FirstParagraph"/>
      </w:pPr>
      <w:r>
        <w:t xml:space="preserve">AUTH-001 passed all 18 preregistered cases: narrow capability-grant partitioning authorized every legitimate action and multi-capability workflow that held exactly its declared minimum capabilities, denied every action lacking a matching capability, and exhibited zero accidental privilege inheritance — with no grant broadened beyond its declared minimal scope and zero normalization-induced privilege expansions. The result is limited to this preregistered test set and does not establish general least-privilege robustness.</w:t>
      </w:r>
    </w:p>
    <w:bookmarkEnd w:id="26"/>
    <w:bookmarkStart w:id="27" w:name="artifacts"/>
    <w:p>
      <w:pPr>
        <w:pStyle w:val="Heading2"/>
      </w:pPr>
      <w:r>
        <w:t xml:space="preserve">Artifacts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PREREGISTRATION.md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preregistration (SHA-256 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run_auth001.py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runner (no LLM judge)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auth001_results.json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case-by-case results with audit trails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proofrecord_auth001.json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Self-verifying ProofRecord with hash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auth001_ledger.jsonl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line per case for programmatic consumption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hashes of all artifacts</w:t>
            </w:r>
          </w:p>
        </w:tc>
      </w:tr>
    </w:tbl>
    <w:bookmarkEnd w:id="27"/>
    <w:bookmarkStart w:id="28" w:name="scientific-discipline"/>
    <w:p>
      <w:pPr>
        <w:pStyle w:val="Heading2"/>
      </w:pPr>
      <w:r>
        <w:t xml:space="preserve">Scientific Discipline</w:t>
      </w:r>
    </w:p>
    <w:p>
      <w:pPr>
        <w:numPr>
          <w:ilvl w:val="0"/>
          <w:numId w:val="1001"/>
        </w:numPr>
        <w:pStyle w:val="Compact"/>
      </w:pPr>
      <w:r>
        <w:t xml:space="preserve">Preregistration locked before execution. SHA-256 hash recorded before implementation.</w:t>
      </w:r>
    </w:p>
    <w:p>
      <w:pPr>
        <w:numPr>
          <w:ilvl w:val="0"/>
          <w:numId w:val="1001"/>
        </w:numPr>
        <w:pStyle w:val="Compact"/>
      </w:pPr>
      <w:r>
        <w:t xml:space="preserve">All verdicts preserved regardless of outcome.</w:t>
      </w:r>
    </w:p>
    <w:p>
      <w:pPr>
        <w:numPr>
          <w:ilvl w:val="0"/>
          <w:numId w:val="1001"/>
        </w:numPr>
        <w:pStyle w:val="Compact"/>
      </w:pPr>
      <w:r>
        <w:t xml:space="preserve">The synonym map was not modified after seeing results.</w:t>
      </w:r>
    </w:p>
    <w:p>
      <w:pPr>
        <w:numPr>
          <w:ilvl w:val="0"/>
          <w:numId w:val="1001"/>
        </w:numPr>
        <w:pStyle w:val="Compact"/>
      </w:pPr>
      <w:r>
        <w:t xml:space="preserve">IB-001 remains FAIL. IB-002 remains FAIL. IB-003 remains PASS. AUTH-001 is an independent branch.</w:t>
      </w:r>
    </w:p>
    <w:p>
      <w:pPr>
        <w:numPr>
          <w:ilvl w:val="0"/>
          <w:numId w:val="1001"/>
        </w:numPr>
        <w:pStyle w:val="Compact"/>
      </w:pPr>
      <w:r>
        <w:t xml:space="preserve">Internal/founder-led experiment; independent academic validation is the next phase.</w:t>
      </w:r>
    </w:p>
    <w:p>
      <w:pPr>
        <w:numPr>
          <w:ilvl w:val="0"/>
          <w:numId w:val="1001"/>
        </w:numPr>
        <w:pStyle w:val="Compact"/>
      </w:pPr>
      <w:r>
        <w:t xml:space="preserve">Honest failures are scientifically valuable. This experiment happened to pass, but the discipline that would have preserved a failure is the same discipline that makes this pass credible.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2026-08-16T03:41:51Z</dcterms:created>
  <dcterms:modified xsi:type="dcterms:W3CDTF">2026-08-16T03:41:51Z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