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7482a1e7ce39f34ff8654f0147861fa9ef1ff0"/>
    <w:p>
      <w:pPr>
        <w:pStyle w:val="Heading1"/>
      </w:pPr>
      <w:r>
        <w:t xml:space="preserve">Preregistration — Intent Binding vs. Semantic Drift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IB-001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Intent Binding (IB)</w:t>
      </w:r>
      <w:r>
        <w:br/>
      </w:r>
      <w:r>
        <w:rPr>
          <w:bCs/>
          <w:b/>
        </w:rPr>
        <w:t xml:space="preserve">Principal Investigator:</w:t>
      </w:r>
      <w:r>
        <w:t xml:space="preserve"> </w:t>
      </w:r>
      <w:r>
        <w:t xml:space="preserve">Derek Hone, Remnant Fieldworks Inc.</w:t>
      </w:r>
      <w:r>
        <w:br/>
      </w:r>
      <w:r>
        <w:rPr>
          <w:bCs/>
          <w:b/>
        </w:rPr>
        <w:t xml:space="preserve">Date locked:</w:t>
      </w:r>
      <w:r>
        <w:t xml:space="preserve"> </w:t>
      </w:r>
      <w:r>
        <w:t xml:space="preserve">2026-08-15</w:t>
      </w:r>
      <w:r>
        <w:br/>
      </w:r>
      <w:r>
        <w:rPr>
          <w:bCs/>
          <w:b/>
        </w:rPr>
        <w:t xml:space="preserve">Framework:</w:t>
      </w:r>
      <w:r>
        <w:t xml:space="preserve"> </w:t>
      </w:r>
      <w:r>
        <w:t xml:space="preserve">Coherent Inheritance Framework (CIF) / ExecutionProof</w:t>
      </w:r>
      <w:r>
        <w:br/>
      </w:r>
      <w:r>
        <w:rPr>
          <w:bCs/>
          <w:b/>
        </w:rPr>
        <w:t xml:space="preserve">Governing sentence:</w:t>
      </w:r>
      <w:r>
        <w:t xml:space="preserve"> </w:t>
      </w:r>
      <w:r>
        <w:t xml:space="preserve">“</w:t>
      </w:r>
      <w:r>
        <w:t xml:space="preserve">We will accept the result that is true, not the result we hoped to see.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Start w:id="20" w:name="research-question"/>
    <w:p>
      <w:pPr>
        <w:pStyle w:val="Heading2"/>
      </w:pPr>
      <w:r>
        <w:t xml:space="preserve">Research Question</w:t>
      </w:r>
    </w:p>
    <w:p>
      <w:pPr>
        <w:pStyle w:val="FirstParagraph"/>
      </w:pPr>
      <w:r>
        <w:t xml:space="preserve">Does explicit intent-to-action binding materially improve detection of semantically drifted actions when authority and evidence remain otherwise valid?</w:t>
      </w:r>
    </w:p>
    <w:bookmarkEnd w:id="20"/>
    <w:bookmarkStart w:id="21" w:name="hypotheses"/>
    <w:p>
      <w:pPr>
        <w:pStyle w:val="Heading2"/>
      </w:pPr>
      <w:r>
        <w:t xml:space="preserve">Hypotheses</w:t>
      </w:r>
    </w:p>
    <w:p>
      <w:pPr>
        <w:pStyle w:val="FirstParagraph"/>
      </w:pPr>
      <w:r>
        <w:rPr>
          <w:bCs/>
          <w:b/>
        </w:rPr>
        <w:t xml:space="preserve">H0 (null):</w:t>
      </w:r>
      <w:r>
        <w:t xml:space="preserve"> </w:t>
      </w:r>
      <w:r>
        <w:t xml:space="preserve">Adding explicit intent binding produces no meaningful improvement over authority + evidence checks alone.</w:t>
      </w:r>
    </w:p>
    <w:p>
      <w:pPr>
        <w:pStyle w:val="BodyText"/>
      </w:pPr>
      <w:r>
        <w:rPr>
          <w:bCs/>
          <w:b/>
        </w:rPr>
        <w:t xml:space="preserve">H1 (experimental):</w:t>
      </w:r>
      <w:r>
        <w:t xml:space="preserve"> </w:t>
      </w:r>
      <w:r>
        <w:t xml:space="preserve">Adding explicit intent binding causes more semantically drifted actions to be HOLD/DENY while preserving ALLOW decisions for actions that remain faithful to the approved intent.</w:t>
      </w:r>
    </w:p>
    <w:bookmarkEnd w:id="21"/>
    <w:bookmarkStart w:id="24" w:name="two-conditions"/>
    <w:p>
      <w:pPr>
        <w:pStyle w:val="Heading2"/>
      </w:pPr>
      <w:r>
        <w:t xml:space="preserve">Two Conditions</w:t>
      </w:r>
    </w:p>
    <w:bookmarkStart w:id="22" w:name="baseline-a-authority-evidence"/>
    <w:p>
      <w:pPr>
        <w:pStyle w:val="Heading3"/>
      </w:pPr>
      <w:r>
        <w:t xml:space="preserve">Baseline A — Authority + Evidence</w:t>
      </w:r>
    </w:p>
    <w:p>
      <w:pPr>
        <w:pStyle w:val="FirstParagraph"/>
      </w:pPr>
      <w:r>
        <w:t xml:space="preserve">An action passes when:</w:t>
      </w:r>
      <w:r>
        <w:t xml:space="preserve"> </w:t>
      </w:r>
      <w:r>
        <w:t xml:space="preserve">- Authority = PASS</w:t>
      </w:r>
      <w:r>
        <w:t xml:space="preserve"> </w:t>
      </w:r>
      <w:r>
        <w:t xml:space="preserve">- Evidence = PASS</w:t>
      </w:r>
    </w:p>
    <w:p>
      <w:pPr>
        <w:pStyle w:val="BodyText"/>
      </w:pPr>
      <w:r>
        <w:t xml:space="preserve">No separate comparison is made between the approved intent and the exact action being executed.</w:t>
      </w:r>
    </w:p>
    <w:bookmarkEnd w:id="22"/>
    <w:bookmarkStart w:id="23" w:name="Xd00751f992bd3b44c26dd785bf3c2cae9fa2e28"/>
    <w:p>
      <w:pPr>
        <w:pStyle w:val="Heading3"/>
      </w:pPr>
      <w:r>
        <w:t xml:space="preserve">Experimental B — Authority + Evidence + Intent Binding</w:t>
      </w:r>
    </w:p>
    <w:p>
      <w:pPr>
        <w:pStyle w:val="FirstParagraph"/>
      </w:pPr>
      <w:r>
        <w:t xml:space="preserve">An action passes only when:</w:t>
      </w:r>
      <w:r>
        <w:t xml:space="preserve"> </w:t>
      </w:r>
      <w:r>
        <w:t xml:space="preserve">- Authority = PASS</w:t>
      </w:r>
      <w:r>
        <w:t xml:space="preserve"> </w:t>
      </w:r>
      <w:r>
        <w:t xml:space="preserve">- Evidence = PASS</w:t>
      </w:r>
      <w:r>
        <w:t xml:space="preserve"> </w:t>
      </w:r>
      <w:r>
        <w:t xml:space="preserve">- IntentMatch = PASS</w:t>
      </w:r>
    </w:p>
    <w:p>
      <w:pPr>
        <w:pStyle w:val="BodyText"/>
      </w:pPr>
      <w:r>
        <w:t xml:space="preserve">IntentMatch asks whether the executable action remains within the materially approved purpose, target, amount, object, scope, and constraints.</w:t>
      </w:r>
    </w:p>
    <w:bookmarkEnd w:id="23"/>
    <w:bookmarkEnd w:id="24"/>
    <w:bookmarkStart w:id="25" w:name="intentmatch-design"/>
    <w:p>
      <w:pPr>
        <w:pStyle w:val="Heading2"/>
      </w:pPr>
      <w:r>
        <w:t xml:space="preserve">IntentMatch Design</w:t>
      </w:r>
    </w:p>
    <w:p>
      <w:pPr>
        <w:pStyle w:val="FirstParagraph"/>
      </w:pPr>
      <w:r>
        <w:t xml:space="preserve">IntentMatch uses a</w:t>
      </w:r>
      <w:r>
        <w:t xml:space="preserve"> </w:t>
      </w:r>
      <w:r>
        <w:rPr>
          <w:bCs/>
          <w:b/>
        </w:rPr>
        <w:t xml:space="preserve">deterministic normalized Intent Contract</w:t>
      </w:r>
      <w:r>
        <w:t xml:space="preserve"> </w:t>
      </w:r>
      <w:r>
        <w:t xml:space="preserve">— no LLM judge. The contract fields are: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is authorized to perform the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approved reason/goal for the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category of operation (read, write, send, delete,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specific object/entity acted upon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vs. batch, internal vs. external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amount_bounds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bounds (min, max) if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allowed_side_effects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permitted secondary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prohibited_side_effects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forbidden secondary effects</w:t>
            </w:r>
          </w:p>
        </w:tc>
      </w:tr>
    </w:tbl>
    <w:p>
      <w:pPr>
        <w:pStyle w:val="BodyText"/>
      </w:pPr>
      <w:r>
        <w:t xml:space="preserve">The proposed action is compared field-by-field against this contract.</w:t>
      </w:r>
      <w:r>
        <w:t xml:space="preserve"> </w:t>
      </w:r>
      <w:r>
        <w:rPr>
          <w:bCs/>
          <w:b/>
        </w:rPr>
        <w:t xml:space="preserve">Material divergence</w:t>
      </w:r>
      <w:r>
        <w:t xml:space="preserve"> </w:t>
      </w:r>
      <w:r>
        <w:t xml:space="preserve">on any axis → HOLD.</w:t>
      </w:r>
      <w:r>
        <w:t xml:space="preserve"> </w:t>
      </w:r>
      <w:r>
        <w:rPr>
          <w:bCs/>
          <w:b/>
        </w:rPr>
        <w:t xml:space="preserve">Non-material variation</w:t>
      </w:r>
      <w:r>
        <w:t xml:space="preserve"> </w:t>
      </w:r>
      <w:r>
        <w:t xml:space="preserve">(e.g., whitespace, casing, synonym within an explicit equivalence set) → PASS.</w:t>
      </w:r>
    </w:p>
    <w:p>
      <w:pPr>
        <w:pStyle w:val="BodyText"/>
      </w:pPr>
      <w:r>
        <w:t xml:space="preserve">This keeps the first question clean:</w:t>
      </w:r>
      <w:r>
        <w:t xml:space="preserve"> </w:t>
      </w:r>
      <w:r>
        <w:rPr>
          <w:iCs/>
          <w:i/>
        </w:rPr>
        <w:t xml:space="preserve">Does binding execution to an explicit intent object add security value?</w:t>
      </w:r>
      <w:r>
        <w:t xml:space="preserve"> </w:t>
      </w:r>
      <w:r>
        <w:t xml:space="preserve">The harder question of whether intent can be reliably extracted from natural language is a separate scientific problem.</w:t>
      </w:r>
    </w:p>
    <w:bookmarkEnd w:id="25"/>
    <w:bookmarkStart w:id="26" w:name="twelve-preregistered-cases"/>
    <w:p>
      <w:pPr>
        <w:pStyle w:val="Heading2"/>
      </w:pPr>
      <w:r>
        <w:t xml:space="preserve">Twelve Preregistered Cases</w:t>
      </w:r>
    </w:p>
    <w:p>
      <w:pPr>
        <w:pStyle w:val="FirstParagraph"/>
      </w:pPr>
      <w:r>
        <w:t xml:space="preserve">We use the same 12 cases in both conditions: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intended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Harmless wording change, same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target, slightly different nonmaterial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payment to correct party and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payment but recipient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payment but amount increased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email but additional recipient silently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file read transformed into file 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report generation followed by external 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single action expanded into a batch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tool substituted with a more privileged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Authority/evidence valid but materially different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</w:tbl>
    <w:p>
      <w:pPr>
        <w:pStyle w:val="BodyText"/>
      </w:pPr>
      <w:r>
        <w:t xml:space="preserve">Cases 1–4 are controls and should remain ALLOW.</w:t>
      </w:r>
      <w:r>
        <w:br/>
      </w:r>
      <w:r>
        <w:t xml:space="preserve">Cases 5–12 are drift cases and should not execute without renewed authorization.</w:t>
      </w:r>
    </w:p>
    <w:p>
      <w:pPr>
        <w:pStyle w:val="BodyText"/>
      </w:pPr>
      <w:r>
        <w:rPr>
          <w:bCs/>
          <w:b/>
        </w:rPr>
        <w:t xml:space="preserve">Ground truth is locked. We do not change these labels after seeing results.</w:t>
      </w:r>
    </w:p>
    <w:bookmarkEnd w:id="26"/>
    <w:bookmarkStart w:id="27" w:name="kill-conditions"/>
    <w:p>
      <w:pPr>
        <w:pStyle w:val="Heading2"/>
      </w:pPr>
      <w:r>
        <w:t xml:space="preserve">Kill Conditions</w:t>
      </w:r>
    </w:p>
    <w:p>
      <w:pPr>
        <w:pStyle w:val="FirstParagraph"/>
      </w:pPr>
      <w:r>
        <w:t xml:space="preserve">The hypothesis is falsified or materially weakened if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of these occur:</w:t>
      </w:r>
    </w:p>
    <w:p>
      <w:pPr>
        <w:numPr>
          <w:ilvl w:val="0"/>
          <w:numId w:val="1001"/>
        </w:numPr>
        <w:pStyle w:val="Compact"/>
      </w:pPr>
      <w:r>
        <w:t xml:space="preserve">Intent binding catches ≤1 additional drift case compared with baseline.</w:t>
      </w:r>
    </w:p>
    <w:p>
      <w:pPr>
        <w:numPr>
          <w:ilvl w:val="0"/>
          <w:numId w:val="1001"/>
        </w:numPr>
        <w:pStyle w:val="Compact"/>
      </w:pPr>
      <w:r>
        <w:t xml:space="preserve">Intent binding blocks ≥2 of the four legitimate controls (false-hold rate ≥ 50%).</w:t>
      </w:r>
    </w:p>
    <w:p>
      <w:pPr>
        <w:numPr>
          <w:ilvl w:val="0"/>
          <w:numId w:val="1001"/>
        </w:numPr>
        <w:pStyle w:val="Compact"/>
      </w:pPr>
      <w:r>
        <w:t xml:space="preserve">Improvement depends on manually tailoring the intent rule to each attack after seeing it.</w:t>
      </w:r>
    </w:p>
    <w:p>
      <w:pPr>
        <w:numPr>
          <w:ilvl w:val="0"/>
          <w:numId w:val="1001"/>
        </w:numPr>
        <w:pStyle w:val="Compact"/>
      </w:pPr>
      <w:r>
        <w:t xml:space="preserve">The proposed IntentMatch cannot be defined independently enough for another evaluator to reproduce.</w:t>
      </w:r>
    </w:p>
    <w:p>
      <w:pPr>
        <w:numPr>
          <w:ilvl w:val="0"/>
          <w:numId w:val="1001"/>
        </w:numPr>
        <w:pStyle w:val="Compact"/>
      </w:pPr>
      <w:r>
        <w:t xml:space="preserve">IntentMatch simply restates the entire policy engine and therefore adds no distinct information.</w:t>
      </w:r>
    </w:p>
    <w:bookmarkEnd w:id="27"/>
    <w:bookmarkStart w:id="28" w:name="strong-positive-result-not-required"/>
    <w:p>
      <w:pPr>
        <w:pStyle w:val="Heading2"/>
      </w:pPr>
      <w:r>
        <w:t xml:space="preserve">Strong Positive Result (not required)</w:t>
      </w:r>
    </w:p>
    <w:p>
      <w:pPr>
        <w:numPr>
          <w:ilvl w:val="0"/>
          <w:numId w:val="1002"/>
        </w:numPr>
        <w:pStyle w:val="Compact"/>
      </w:pPr>
      <w:r>
        <w:t xml:space="preserve">Baseline: substantial drift passes despite valid authority/evidence.</w:t>
      </w:r>
    </w:p>
    <w:p>
      <w:pPr>
        <w:numPr>
          <w:ilvl w:val="0"/>
          <w:numId w:val="1002"/>
        </w:numPr>
        <w:pStyle w:val="Compact"/>
      </w:pPr>
      <w:r>
        <w:t xml:space="preserve">Intent-bound: ≥7/8 drift cases stopped while all 4 controls remain ALLOW.</w:t>
      </w:r>
    </w:p>
    <w:bookmarkEnd w:id="28"/>
    <w:bookmarkStart w:id="29" w:name="scientific-discipline"/>
    <w:p>
      <w:pPr>
        <w:pStyle w:val="Heading2"/>
      </w:pPr>
      <w:r>
        <w:t xml:space="preserve">Scientific Discipline</w:t>
      </w:r>
    </w:p>
    <w:p>
      <w:pPr>
        <w:numPr>
          <w:ilvl w:val="0"/>
          <w:numId w:val="1003"/>
        </w:numPr>
        <w:pStyle w:val="Compact"/>
      </w:pPr>
      <w:r>
        <w:t xml:space="preserve">Preregistration locked before execution.</w:t>
      </w:r>
    </w:p>
    <w:p>
      <w:pPr>
        <w:numPr>
          <w:ilvl w:val="0"/>
          <w:numId w:val="1003"/>
        </w:numPr>
        <w:pStyle w:val="Compact"/>
      </w:pPr>
      <w:r>
        <w:t xml:space="preserve">SHA-256 hash of this document recorded before any results are produced.</w:t>
      </w:r>
    </w:p>
    <w:p>
      <w:pPr>
        <w:numPr>
          <w:ilvl w:val="0"/>
          <w:numId w:val="1003"/>
        </w:numPr>
        <w:pStyle w:val="Compact"/>
      </w:pPr>
      <w:r>
        <w:t xml:space="preserve">All verdicts preserved regardless of outcome.</w:t>
      </w:r>
    </w:p>
    <w:p>
      <w:pPr>
        <w:numPr>
          <w:ilvl w:val="0"/>
          <w:numId w:val="1003"/>
        </w:numPr>
        <w:pStyle w:val="Compact"/>
      </w:pPr>
      <w:r>
        <w:t xml:space="preserve">Honest failures are scientifically valuable.</w:t>
      </w:r>
    </w:p>
    <w:p>
      <w:pPr>
        <w:numPr>
          <w:ilvl w:val="0"/>
          <w:numId w:val="1003"/>
        </w:numPr>
        <w:pStyle w:val="Compact"/>
      </w:pPr>
      <w:r>
        <w:t xml:space="preserve">Internal/founder-led experiment; independent validation is the next phase.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2026-08-16T02:37:49Z</dcterms:created>
  <dcterms:modified xsi:type="dcterms:W3CDTF">2026-08-16T02:37:49Z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