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844ec7833a090762a9252ac09da73181906b29"/>
    <w:p>
      <w:pPr>
        <w:pStyle w:val="Heading1"/>
      </w:pPr>
      <w:r>
        <w:t xml:space="preserve">Preregistration — Authority Normalization Without Semantic Permission Expansion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IB-002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Intent Binding (IB)</w:t>
      </w:r>
      <w:r>
        <w:br/>
      </w:r>
      <w:r>
        <w:rPr>
          <w:bCs/>
          <w:b/>
        </w:rPr>
        <w:t xml:space="preserve">Parent experiment:</w:t>
      </w:r>
      <w:r>
        <w:t xml:space="preserve"> </w:t>
      </w:r>
      <w:r>
        <w:t xml:space="preserve">IB-001 (FAIL — K2 triggered, root cause: authority synonym gap)</w:t>
      </w:r>
      <w:r>
        <w:br/>
      </w:r>
      <w:r>
        <w:rPr>
          <w:bCs/>
          <w:b/>
        </w:rPr>
        <w:t xml:space="preserve">Principal 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Date locked:</w:t>
      </w:r>
      <w:r>
        <w:t xml:space="preserve"> </w:t>
      </w:r>
      <w:r>
        <w:t xml:space="preserve">2026-08-15</w:t>
      </w:r>
      <w:r>
        <w:br/>
      </w:r>
      <w:r>
        <w:rPr>
          <w:bCs/>
          <w:b/>
        </w:rPr>
        <w:t xml:space="preserve">Framework:</w:t>
      </w:r>
      <w:r>
        <w:t xml:space="preserve"> </w:t>
      </w:r>
      <w:r>
        <w:t xml:space="preserve">Coherent Inheritance Framework (CIF) / ExecutionProof</w:t>
      </w:r>
      <w:r>
        <w:br/>
      </w:r>
      <w:r>
        <w:rPr>
          <w:bCs/>
          <w:b/>
        </w:rPr>
        <w:t xml:space="preserve">Governing sentence:</w:t>
      </w:r>
      <w:r>
        <w:t xml:space="preserve"> </w:t>
      </w:r>
      <w:r>
        <w:t xml:space="preserve">“</w:t>
      </w:r>
      <w:r>
        <w:t xml:space="preserve">We will accept the result that is true, not the result we hoped to see.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lineage"/>
    <w:p>
      <w:pPr>
        <w:pStyle w:val="Heading2"/>
      </w:pPr>
      <w:r>
        <w:t xml:space="preserve">Lineage</w:t>
      </w:r>
    </w:p>
    <w:p>
      <w:pPr>
        <w:pStyle w:val="FirstParagraph"/>
      </w:pPr>
      <w:r>
        <w:t xml:space="preserve">IB-001 failed at the pipeline level (kill condition K2: ≥2 controls blocked). Root-cause diagnosis isolated the defect to the authority layer:</w:t>
      </w:r>
      <w:r>
        <w:t xml:space="preserve"> </w:t>
      </w:r>
      <w:r>
        <w:rPr>
          <w:rStyle w:val="VerbatimChar"/>
        </w:rPr>
        <w:t xml:space="preserve">check_authority()</w:t>
      </w:r>
      <w:r>
        <w:t xml:space="preserve"> </w:t>
      </w:r>
      <w:r>
        <w:t xml:space="preserve">performs exact string matching against</w:t>
      </w:r>
      <w:r>
        <w:t xml:space="preserve"> </w:t>
      </w:r>
      <w:r>
        <w:rPr>
          <w:rStyle w:val="VerbatimChar"/>
        </w:rPr>
        <w:t xml:space="preserve">allowed_action_types</w:t>
      </w:r>
      <w:r>
        <w:t xml:space="preserve">, but the allowed list contains only canonical action names (e.g.,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), not their declared synonyms (e.g.,</w:t>
      </w:r>
      <w:r>
        <w:t xml:space="preserve"> </w:t>
      </w:r>
      <w:r>
        <w:rPr>
          <w:rStyle w:val="VerbatimChar"/>
        </w:rPr>
        <w:t xml:space="preserve">dispatch_email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view_file</w:t>
      </w:r>
      <w:r>
        <w:t xml:space="preserve">). IntentMatch normalized these synonyms correctly, but the authority check rejected them before IntentMatch was ever evaluated.</w:t>
      </w:r>
    </w:p>
    <w:p>
      <w:pPr>
        <w:pStyle w:val="BodyText"/>
      </w:pPr>
      <w:r>
        <w:rPr>
          <w:bCs/>
          <w:b/>
        </w:rPr>
        <w:t xml:space="preserve">IB-001 is preserved as-is. This experiment does not retroactively modify IB-001’s verdict.</w:t>
      </w:r>
    </w:p>
    <w:p>
      <w:pPr>
        <w:pStyle w:val="BodyText"/>
      </w:pPr>
      <w:r>
        <w:t xml:space="preserve">IB-001 summary sentence (preserved):</w:t>
      </w:r>
      <w:r>
        <w:t xml:space="preserve"> </w:t>
      </w:r>
      <w:r>
        <w:t xml:space="preserve">“</w:t>
      </w:r>
      <w:r>
        <w:t xml:space="preserve">IB-001 failed at the pipeline level while isolating a distinct upstream authority-normalization defect; the IntentMatch primitive correctly classified all 12 preregistered cases in this test set.</w:t>
      </w:r>
      <w:r>
        <w:t xml:space="preserve">”</w:t>
      </w:r>
    </w:p>
    <w:bookmarkEnd w:id="20"/>
    <w:bookmarkStart w:id="21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Can the authority layer recognize semantically equivalent action names (e.g.,</w:t>
      </w:r>
      <w:r>
        <w:t xml:space="preserve"> </w:t>
      </w:r>
      <w:r>
        <w:rPr>
          <w:rStyle w:val="VerbatimChar"/>
        </w:rPr>
        <w:t xml:space="preserve">dispatch_email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) without accidentally broadening authority to genuinely different or more privileged actions?</w:t>
      </w:r>
    </w:p>
    <w:bookmarkEnd w:id="21"/>
    <w:bookmarkStart w:id="22" w:name="the-danger"/>
    <w:p>
      <w:pPr>
        <w:pStyle w:val="Heading2"/>
      </w:pPr>
      <w:r>
        <w:t xml:space="preserve">The Danger</w: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want to</w:t>
      </w:r>
      <w:r>
        <w:t xml:space="preserve"> </w:t>
      </w:r>
      <w:r>
        <w:t xml:space="preserve">“</w:t>
      </w:r>
      <w:r>
        <w:t xml:space="preserve">fix synonyms</w:t>
      </w:r>
      <w:r>
        <w:t xml:space="preserve">”</w:t>
      </w:r>
      <w:r>
        <w:t xml:space="preserve"> </w:t>
      </w:r>
      <w:r>
        <w:t xml:space="preserve">by introducing fuzzy matching that quietly makes authorization weaker. The remediation must preserve exact security boundaries. A normalization function that maps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execute_tool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transmit_external</w:t>
      </w:r>
      <w:r>
        <w:t xml:space="preserve">, would be a privilege-escalation vulnerability disguised as a bug fix.</w:t>
      </w:r>
    </w:p>
    <w:bookmarkEnd w:id="22"/>
    <w:bookmarkStart w:id="23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rPr>
          <w:bCs/>
          <w:b/>
        </w:rPr>
        <w:t xml:space="preserve">H0 (null):</w:t>
      </w:r>
      <w:r>
        <w:t xml:space="preserve"> </w:t>
      </w:r>
      <w:r>
        <w:t xml:space="preserve">Adding synonym normalization to the authority layer either fails to resolve the IB-001 false blocks, or introduces new false accepts on adversarial near-neighbor or privilege-escalation inputs.</w:t>
      </w:r>
    </w:p>
    <w:p>
      <w:pPr>
        <w:pStyle w:val="BodyText"/>
      </w:pPr>
      <w:r>
        <w:rPr>
          <w:bCs/>
          <w:b/>
        </w:rPr>
        <w:t xml:space="preserve">H1 (experimental):</w:t>
      </w:r>
      <w:r>
        <w:t xml:space="preserve"> </w:t>
      </w:r>
      <w:r>
        <w:t xml:space="preserve">A deterministic, explicitly declared synonym map applied at the authority layer correctly resolves all legitimate alias cases while rejecting all adversarial near-neighbor and privilege-escalation cases.</w:t>
      </w:r>
    </w:p>
    <w:bookmarkEnd w:id="23"/>
    <w:bookmarkStart w:id="24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remediation adds a single function:</w:t>
      </w:r>
      <w:r>
        <w:t xml:space="preserve"> </w:t>
      </w:r>
      <w:r>
        <w:rPr>
          <w:rStyle w:val="VerbatimChar"/>
        </w:rPr>
        <w:t xml:space="preserve">normalize_authority_action_type()</w:t>
      </w:r>
      <w:r>
        <w:t xml:space="preserve">, which uses the same</w:t>
      </w:r>
      <w:r>
        <w:t xml:space="preserve"> </w:t>
      </w:r>
      <w:r>
        <w:rPr>
          <w:rStyle w:val="VerbatimChar"/>
        </w:rPr>
        <w:t xml:space="preserve">WORDING_EQUIVALENCES</w:t>
      </w:r>
      <w:r>
        <w:t xml:space="preserve"> </w:t>
      </w:r>
      <w:r>
        <w:t xml:space="preserve">map already declared in IB-001’s IntentMatch module. This is not a new data structure — it reuses the preregistered synonym set. The authority check becomes:</w:t>
      </w:r>
    </w:p>
    <w:p>
      <w:pPr>
        <w:pStyle w:val="SourceCode"/>
      </w:pPr>
      <w:r>
        <w:rPr>
          <w:rStyle w:val="VerbatimChar"/>
        </w:rPr>
        <w:t xml:space="preserve">normalized_type = normalize_authority_action_type(action.action_type)</w:t>
      </w:r>
      <w:r>
        <w:br/>
      </w:r>
      <w:r>
        <w:rPr>
          <w:rStyle w:val="VerbatimChar"/>
        </w:rPr>
        <w:t xml:space="preserve">return actor_matches and normalized_type in allowed_action_types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allowed_action_types</w:t>
      </w:r>
      <w:r>
        <w:t xml:space="preserve"> </w:t>
      </w:r>
      <w:r>
        <w:t xml:space="preserve">list continues to contain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canonical names. Synonyms map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canonical names, never away from them.</w:t>
      </w:r>
    </w:p>
    <w:bookmarkEnd w:id="24"/>
    <w:bookmarkStart w:id="28" w:name="three-preregistered-case-classes"/>
    <w:p>
      <w:pPr>
        <w:pStyle w:val="Heading2"/>
      </w:pPr>
      <w:r>
        <w:t xml:space="preserve">Three Preregistered Case Classes</w:t>
      </w:r>
    </w:p>
    <w:bookmarkStart w:id="25" w:name="X2a8e937fa6fdc22e19aada26089a1806afa46f9"/>
    <w:p>
      <w:pPr>
        <w:pStyle w:val="Heading3"/>
      </w:pPr>
      <w:r>
        <w:t xml:space="preserve">Class 1: Legitimate Aliases (expected: ACCEPT)</w:t>
      </w:r>
    </w:p>
    <w:p>
      <w:pPr>
        <w:pStyle w:val="FirstParagraph"/>
      </w:pPr>
      <w:r>
        <w:t xml:space="preserve">Semantically equivalent names that should normalize to the same canonical action.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transfer_funds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</w:t>
            </w:r>
            <w:r>
              <w:t xml:space="preserve"> </w:t>
            </w:r>
            <w:r>
              <w:t xml:space="preserve">(identity)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  <w:r>
              <w:t xml:space="preserve"> </w:t>
            </w:r>
            <w:r>
              <w:t xml:space="preserve">(identity)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</w:tbl>
    <w:bookmarkEnd w:id="25"/>
    <w:bookmarkStart w:id="26" w:name="X7b51309db341a4188cc499705b12be75828e9da"/>
    <w:p>
      <w:pPr>
        <w:pStyle w:val="Heading3"/>
      </w:pPr>
      <w:r>
        <w:t xml:space="preserve">Class 2: Near-Neighbor Attacks (expected: REJECT)</w:t>
      </w:r>
    </w:p>
    <w:p>
      <w:pPr>
        <w:pStyle w:val="FirstParagraph"/>
      </w:pPr>
      <w:r>
        <w:t xml:space="preserve">Superficially similar but materially different actions. These must NOT normalize to any authorized canonical action.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9"/>
        <w:gridCol w:w="2342"/>
        <w:gridCol w:w="2119"/>
        <w:gridCol w:w="1673"/>
        <w:gridCol w:w="11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Forwarding ≠ sending; different privacy/routing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 ≠ read-only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≠ executing; deferred vs 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summarize_report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Summarizing existing ≠ generating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Archiving ≠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Copying creates a new object; read 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</w:tbl>
    <w:bookmarkEnd w:id="26"/>
    <w:bookmarkStart w:id="27" w:name="Xfc8f4feb53c69ab6d101330f880655403ebcb25"/>
    <w:p>
      <w:pPr>
        <w:pStyle w:val="Heading3"/>
      </w:pPr>
      <w:r>
        <w:t xml:space="preserve">Class 3: Privilege-Escalation Variants (expected: REJECT)</w:t>
      </w:r>
    </w:p>
    <w:p>
      <w:pPr>
        <w:pStyle w:val="FirstParagraph"/>
      </w:pPr>
      <w:r>
        <w:t xml:space="preserve">Aliases that, if normalized, would map a lower-authority operation into a higher-authority one.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2376"/>
        <w:gridCol w:w="2376"/>
        <w:gridCol w:w="1357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Falsely Map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execute_tool</w:t>
            </w:r>
            <w:r>
              <w:t xml:space="preserve"> </w:t>
            </w:r>
            <w:r>
              <w:t xml:space="preserve">(submitted as synonym claim for</w:t>
            </w:r>
            <w:r>
              <w:t xml:space="preserve"> </w:t>
            </w:r>
            <w:r>
              <w:rPr>
                <w:rStyle w:val="VerbatimChar"/>
              </w:rPr>
              <w:t xml:space="preserve">read_file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&gt;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delete_record</w:t>
            </w:r>
            <w:r>
              <w:t xml:space="preserve"> </w:t>
            </w:r>
            <w:r>
              <w:t xml:space="preserve">(submitted as synonym claim for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 &gt;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transmit_external</w:t>
            </w:r>
            <w:r>
              <w:t xml:space="preserve"> </w:t>
            </w:r>
            <w:r>
              <w:t xml:space="preserve">(submitted as synonym claim for</w:t>
            </w:r>
            <w:r>
              <w:t xml:space="preserve"> </w:t>
            </w:r>
            <w:r>
              <w:rPr>
                <w:rStyle w:val="VerbatimChar"/>
              </w:rPr>
              <w:t xml:space="preserve">send_email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transmission &gt; internal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batch_execute</w:t>
            </w:r>
            <w:r>
              <w:t xml:space="preserve"> </w:t>
            </w:r>
            <w:r>
              <w:t xml:space="preserve">(submitted as synonym claim for</w:t>
            </w:r>
            <w:r>
              <w:t xml:space="preserve"> </w:t>
            </w:r>
            <w:r>
              <w:rPr>
                <w:rStyle w:val="VerbatimChar"/>
              </w:rPr>
              <w:t xml:space="preserve">execute_tool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&gt;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modify_permissions</w:t>
            </w:r>
            <w:r>
              <w:t xml:space="preserve"> </w:t>
            </w:r>
            <w:r>
              <w:t xml:space="preserve">(submitted as synonym claim for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change &gt; data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admin_override</w:t>
            </w:r>
            <w:r>
              <w:t xml:space="preserve"> </w:t>
            </w:r>
            <w:r>
              <w:t xml:space="preserve">(submitted as synonym claim for</w:t>
            </w:r>
            <w:r>
              <w:t xml:space="preserve"> </w:t>
            </w:r>
            <w:r>
              <w:rPr>
                <w:rStyle w:val="VerbatimChar"/>
              </w:rPr>
              <w:t xml:space="preserve">execute_tool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</w:tbl>
    <w:bookmarkEnd w:id="27"/>
    <w:bookmarkEnd w:id="28"/>
    <w:bookmarkStart w:id="29" w:name="success-condition"/>
    <w:p>
      <w:pPr>
        <w:pStyle w:val="Heading2"/>
      </w:pPr>
      <w:r>
        <w:t xml:space="preserve">Success Condition</w:t>
      </w:r>
    </w:p>
    <w:p>
      <w:pPr>
        <w:pStyle w:val="FirstParagraph"/>
      </w:pPr>
      <w:r>
        <w:t xml:space="preserve">All three classes must pass simultaneously: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6 legitimate aliases accepted</w:t>
      </w:r>
      <w:r>
        <w:t xml:space="preserve"> </w:t>
      </w:r>
      <w:r>
        <w:t xml:space="preserve">(6/6 ACCEPT)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6 adversarial near-neighbors rejected</w:t>
      </w:r>
      <w:r>
        <w:t xml:space="preserve"> </w:t>
      </w:r>
      <w:r>
        <w:t xml:space="preserve">(6/6 REJECT)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6 privilege-escalation variants rejected</w:t>
      </w:r>
      <w:r>
        <w:t xml:space="preserve"> </w:t>
      </w:r>
      <w:r>
        <w:t xml:space="preserve">(6/6 REJECT)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privilege expansions</w:t>
      </w:r>
      <w:r>
        <w:t xml:space="preserve"> </w:t>
      </w:r>
      <w:r>
        <w:t xml:space="preserve">— no case where normalization maps a lower-privilege action string to a higher-privilege canonical action</w:t>
      </w:r>
    </w:p>
    <w:p>
      <w:pPr>
        <w:pStyle w:val="FirstParagraph"/>
      </w:pPr>
      <w:r>
        <w:rPr>
          <w:bCs/>
          <w:b/>
        </w:rPr>
        <w:t xml:space="preserve">Strong positive:</w:t>
      </w:r>
      <w:r>
        <w:t xml:space="preserve"> </w:t>
      </w:r>
      <w:r>
        <w:t xml:space="preserve">18/18 correct across all three classes.</w:t>
      </w:r>
    </w:p>
    <w:bookmarkEnd w:id="29"/>
    <w:bookmarkStart w:id="30" w:name="kill-conditions"/>
    <w:p>
      <w:pPr>
        <w:pStyle w:val="Heading2"/>
      </w:pPr>
      <w:r>
        <w:t xml:space="preserve">Kill Conditions</w:t>
      </w:r>
    </w:p>
    <w:p>
      <w:pPr>
        <w:pStyle w:val="FirstParagraph"/>
      </w:pPr>
      <w:r>
        <w:t xml:space="preserve">The remediation is considered unsafe or ineffective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of these occur: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— Any legitimate alias rejected</w:t>
      </w:r>
      <w:r>
        <w:t xml:space="preserve"> </w:t>
      </w:r>
      <w:r>
        <w:t xml:space="preserve">(≥1 of 6 aliases returns REJECT): the normalization is too restrictive and does not solve the IB-001 defect.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K2 — Any near-neighbor attack accepted</w:t>
      </w:r>
      <w:r>
        <w:t xml:space="preserve"> </w:t>
      </w:r>
      <w:r>
        <w:t xml:space="preserve">(≥1 of 6 near-neighbors returns ACCEPT): the normalization is too permissive.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K3 — Any privilege escalation accepted</w:t>
      </w:r>
      <w:r>
        <w:t xml:space="preserve"> </w:t>
      </w:r>
      <w:r>
        <w:t xml:space="preserve">(≥1 of 6 escalation variants returns ACCEPT): the normalization introduces a security vulnerability.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K4 — The synonym map requires case-specific tailoring after seeing test results</w:t>
      </w:r>
      <w:r>
        <w:t xml:space="preserve">: the normalization is not general.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K5 — The normalization function cannot be independently reproduced</w:t>
      </w:r>
      <w:r>
        <w:t xml:space="preserve">: same standard as IB-001 K4.</w:t>
      </w:r>
    </w:p>
    <w:bookmarkEnd w:id="30"/>
    <w:bookmarkStart w:id="31" w:name="method"/>
    <w:p>
      <w:pPr>
        <w:pStyle w:val="Heading2"/>
      </w:pPr>
      <w:r>
        <w:t xml:space="preserve">Method</w:t>
      </w:r>
    </w:p>
    <w:p>
      <w:pPr>
        <w:numPr>
          <w:ilvl w:val="0"/>
          <w:numId w:val="1003"/>
        </w:numPr>
        <w:pStyle w:val="Compact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normalize_authority_action_type()</w:t>
      </w:r>
      <w:r>
        <w:t xml:space="preserve"> </w:t>
      </w:r>
      <w:r>
        <w:t xml:space="preserve">using the exact same</w:t>
      </w:r>
      <w:r>
        <w:t xml:space="preserve"> </w:t>
      </w:r>
      <w:r>
        <w:rPr>
          <w:rStyle w:val="VerbatimChar"/>
        </w:rPr>
        <w:t xml:space="preserve">WORDING_EQUIVALENCES</w:t>
      </w:r>
      <w:r>
        <w:t xml:space="preserve"> </w:t>
      </w:r>
      <w:r>
        <w:t xml:space="preserve">map from IB-001.</w:t>
      </w:r>
    </w:p>
    <w:p>
      <w:pPr>
        <w:numPr>
          <w:ilvl w:val="0"/>
          <w:numId w:val="1003"/>
        </w:numPr>
        <w:pStyle w:val="Compact"/>
      </w:pPr>
      <w:r>
        <w:t xml:space="preserve">For each of the 18 cases, run the proposed action type through normalization, then check whether the normalized result exists in the canonical</w:t>
      </w:r>
      <w:r>
        <w:t xml:space="preserve"> </w:t>
      </w:r>
      <w:r>
        <w:rPr>
          <w:rStyle w:val="VerbatimChar"/>
        </w:rPr>
        <w:t xml:space="preserve">allowed_action_types</w:t>
      </w:r>
      <w:r>
        <w:t xml:space="preserve"> </w:t>
      </w:r>
      <w:r>
        <w:t xml:space="preserve">list.</w:t>
      </w:r>
    </w:p>
    <w:p>
      <w:pPr>
        <w:numPr>
          <w:ilvl w:val="0"/>
          <w:numId w:val="1003"/>
        </w:numPr>
        <w:pStyle w:val="Compact"/>
      </w:pPr>
      <w:r>
        <w:t xml:space="preserve">Record ACCEPT/REJECT for each case.</w:t>
      </w:r>
    </w:p>
    <w:p>
      <w:pPr>
        <w:numPr>
          <w:ilvl w:val="0"/>
          <w:numId w:val="1003"/>
        </w:numPr>
        <w:pStyle w:val="Compact"/>
      </w:pPr>
      <w:r>
        <w:t xml:space="preserve">Evaluate kill conditions.</w:t>
      </w:r>
    </w:p>
    <w:p>
      <w:pPr>
        <w:numPr>
          <w:ilvl w:val="0"/>
          <w:numId w:val="1003"/>
        </w:numPr>
        <w:pStyle w:val="Compact"/>
      </w:pPr>
      <w:r>
        <w:t xml:space="preserve">Determine verdict.</w:t>
      </w:r>
    </w:p>
    <w:bookmarkEnd w:id="31"/>
    <w:bookmarkStart w:id="32" w:name="outputs"/>
    <w:p>
      <w:pPr>
        <w:pStyle w:val="Heading2"/>
      </w:pPr>
      <w:r>
        <w:t xml:space="preserve">Outputs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ib002_results.json</w:t>
      </w:r>
      <w:r>
        <w:t xml:space="preserve"> </w:t>
      </w:r>
      <w:r>
        <w:t xml:space="preserve">— full case-by-case results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proofrecord_ib002.json</w:t>
      </w:r>
      <w:r>
        <w:t xml:space="preserve"> </w:t>
      </w:r>
      <w:r>
        <w:t xml:space="preserve">— self-verifying ProofRecord with hash chain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ib002_ledger.jsonl</w:t>
      </w:r>
      <w:r>
        <w:t xml:space="preserve"> </w:t>
      </w:r>
      <w:r>
        <w:t xml:space="preserve">— one line per case for programmatic consumption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MANIFEST.sha256</w:t>
      </w:r>
      <w:r>
        <w:t xml:space="preserve"> </w:t>
      </w:r>
      <w:r>
        <w:t xml:space="preserve">— SHA-256 hashes of all files</w:t>
      </w:r>
    </w:p>
    <w:bookmarkEnd w:id="32"/>
    <w:bookmarkStart w:id="33" w:name="scientific-discipline"/>
    <w:p>
      <w:pPr>
        <w:pStyle w:val="Heading2"/>
      </w:pPr>
      <w:r>
        <w:t xml:space="preserve">Scientific Discipline</w:t>
      </w:r>
    </w:p>
    <w:p>
      <w:pPr>
        <w:numPr>
          <w:ilvl w:val="0"/>
          <w:numId w:val="1005"/>
        </w:numPr>
        <w:pStyle w:val="Compact"/>
      </w:pPr>
      <w:r>
        <w:t xml:space="preserve">Preregistration locked before execution.</w:t>
      </w:r>
    </w:p>
    <w:p>
      <w:pPr>
        <w:numPr>
          <w:ilvl w:val="0"/>
          <w:numId w:val="1005"/>
        </w:numPr>
        <w:pStyle w:val="Compact"/>
      </w:pPr>
      <w:r>
        <w:t xml:space="preserve">SHA-256 hash of this document recorded before any results are produced.</w:t>
      </w:r>
    </w:p>
    <w:p>
      <w:pPr>
        <w:numPr>
          <w:ilvl w:val="0"/>
          <w:numId w:val="1005"/>
        </w:numPr>
        <w:pStyle w:val="Compact"/>
      </w:pPr>
      <w:r>
        <w:t xml:space="preserve">All verdicts preserved regardless of outcome.</w:t>
      </w:r>
    </w:p>
    <w:p>
      <w:pPr>
        <w:numPr>
          <w:ilvl w:val="0"/>
          <w:numId w:val="1005"/>
        </w:numPr>
        <w:pStyle w:val="Compact"/>
      </w:pPr>
      <w:r>
        <w:t xml:space="preserve">The synonym map is declared before execution and not modified after seeing results.</w:t>
      </w:r>
    </w:p>
    <w:p>
      <w:pPr>
        <w:numPr>
          <w:ilvl w:val="0"/>
          <w:numId w:val="1005"/>
        </w:numPr>
        <w:pStyle w:val="Compact"/>
      </w:pPr>
      <w:r>
        <w:t xml:space="preserve">IB-001 remains FAIL. This experiment tests the remediation independently.</w:t>
      </w:r>
    </w:p>
    <w:p>
      <w:pPr>
        <w:numPr>
          <w:ilvl w:val="0"/>
          <w:numId w:val="1005"/>
        </w:numPr>
        <w:pStyle w:val="Compact"/>
      </w:pPr>
      <w:r>
        <w:t xml:space="preserve">Honest failures are scientifically valuable.</w:t>
      </w:r>
    </w:p>
    <w:p>
      <w:pPr>
        <w:numPr>
          <w:ilvl w:val="0"/>
          <w:numId w:val="1005"/>
        </w:numPr>
        <w:pStyle w:val="Compact"/>
      </w:pPr>
      <w:r>
        <w:t xml:space="preserve">Internal/founder-led experiment; independent validation is the next phase.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2026-08-16T02:55:43Z</dcterms:created>
  <dcterms:modified xsi:type="dcterms:W3CDTF">2026-08-16T02:55:43Z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