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4c5871954c3b094b13dad198944a646be4f6a00"/>
    <w:p>
      <w:pPr>
        <w:pStyle w:val="Heading1"/>
      </w:pPr>
      <w:r>
        <w:t xml:space="preserve">IB-002 Results — Authority Normalization Without Semantic Permission Expansion</w:t>
      </w:r>
    </w:p>
    <w:p>
      <w:pPr>
        <w:pStyle w:val="FirstParagraph"/>
      </w:pPr>
      <w:r>
        <w:rPr>
          <w:bCs/>
          <w:b/>
        </w:rPr>
        <w:t xml:space="preserve">Experiment ID:</w:t>
      </w:r>
      <w:r>
        <w:t xml:space="preserve"> </w:t>
      </w:r>
      <w:r>
        <w:t xml:space="preserve">IB-002</w:t>
      </w:r>
      <w:r>
        <w:br/>
      </w:r>
      <w:r>
        <w:rPr>
          <w:bCs/>
          <w:b/>
        </w:rPr>
        <w:t xml:space="preserve">Parent:</w:t>
      </w:r>
      <w:r>
        <w:t xml:space="preserve"> </w:t>
      </w:r>
      <w:r>
        <w:t xml:space="preserve">IB-001 (FAIL — K2 triggered, root cause: authority synonym gap)</w:t>
      </w:r>
      <w:r>
        <w:br/>
      </w:r>
      <w:r>
        <w:rPr>
          <w:bCs/>
          <w:b/>
        </w:rPr>
        <w:t xml:space="preserve">Series:</w:t>
      </w:r>
      <w:r>
        <w:t xml:space="preserve"> </w:t>
      </w:r>
      <w:r>
        <w:t xml:space="preserve">Intent Binding (IB)</w:t>
      </w:r>
      <w:r>
        <w:br/>
      </w:r>
      <w:r>
        <w:rPr>
          <w:bCs/>
          <w:b/>
        </w:rPr>
        <w:t xml:space="preserve">Principal Investigator:</w:t>
      </w:r>
      <w:r>
        <w:t xml:space="preserve"> </w:t>
      </w:r>
      <w:r>
        <w:t xml:space="preserve">Derek Hone, Remnant Fieldworks Inc.</w:t>
      </w:r>
      <w:r>
        <w:br/>
      </w:r>
      <w:r>
        <w:rPr>
          <w:bCs/>
          <w:b/>
        </w:rPr>
        <w:t xml:space="preserve">Executed:</w:t>
      </w:r>
      <w:r>
        <w:t xml:space="preserve"> </w:t>
      </w:r>
      <w:r>
        <w:t xml:space="preserve">2026-08-15</w:t>
      </w:r>
      <w:r>
        <w:br/>
      </w:r>
      <w:r>
        <w:rPr>
          <w:bCs/>
          <w:b/>
        </w:rPr>
        <w:t xml:space="preserve">Framework:</w:t>
      </w:r>
      <w:r>
        <w:t xml:space="preserve"> </w:t>
      </w:r>
      <w:r>
        <w:t xml:space="preserve">Coherent Inheritance Framework (CIF) / ExecutionProof</w:t>
      </w:r>
      <w:r>
        <w:br/>
      </w:r>
      <w:r>
        <w:rPr>
          <w:bCs/>
          <w:b/>
        </w:rPr>
        <w:t xml:space="preserve">Preregistration hash:</w:t>
      </w:r>
      <w:r>
        <w:t xml:space="preserve"> </w:t>
      </w:r>
      <w:r>
        <w:rPr>
          <w:rStyle w:val="VerbatimChar"/>
        </w:rPr>
        <w:t xml:space="preserve">a12d0a21bb2f17d6c11b9761bb9d50b701a4e4d4f4d2bc3f0b615fb7c2064d08</w:t>
      </w:r>
      <w:r>
        <w:br/>
      </w:r>
      <w:r>
        <w:rPr>
          <w:bCs/>
          <w:b/>
        </w:rPr>
        <w:t xml:space="preserve">ProofRecord hash:</w:t>
      </w:r>
      <w:r>
        <w:t xml:space="preserve"> </w:t>
      </w:r>
      <w:r>
        <w:rPr>
          <w:rStyle w:val="VerbatimChar"/>
        </w:rPr>
        <w:t xml:space="preserve">4c1cd40b7354fae34d8dc2b3eeffa31b309d05d9c36b629ecf2dfb6af0f0ccda</w:t>
      </w:r>
    </w:p>
    <w:p>
      <w:r>
        <w:pict>
          <v:rect style="width:0;height:1.5pt" o:hralign="center" o:hrstd="t" o:hr="t"/>
        </w:pict>
      </w:r>
    </w:p>
    <w:bookmarkStart w:id="20" w:name="verdict-fail"/>
    <w:p>
      <w:pPr>
        <w:pStyle w:val="Heading2"/>
      </w:pPr>
      <w:r>
        <w:t xml:space="preserve">Verdict: FAIL</w:t>
      </w:r>
    </w:p>
    <w:p>
      <w:pPr>
        <w:pStyle w:val="FirstParagraph"/>
      </w:pPr>
      <w:r>
        <w:rPr>
          <w:bCs/>
          <w:b/>
        </w:rPr>
        <w:t xml:space="preserve">Kill condition K3 triggered:</w:t>
      </w:r>
      <w:r>
        <w:t xml:space="preserve"> </w:t>
      </w:r>
      <w:r>
        <w:t xml:space="preserve">4 of 6 privilege-escalation cases accepted (threshold: ≥1).</w:t>
      </w:r>
    </w:p>
    <w:p>
      <w:r>
        <w:pict>
          <v:rect style="width:0;height:1.5pt" o:hralign="center" o:hrstd="t" o:hr="t"/>
        </w:pict>
      </w:r>
    </w:p>
    <w:bookmarkEnd w:id="20"/>
    <w:bookmarkStart w:id="21" w:name="summary-sentence"/>
    <w:p>
      <w:pPr>
        <w:pStyle w:val="Heading2"/>
      </w:pPr>
      <w:r>
        <w:t xml:space="preserve">Summary Sentence</w:t>
      </w:r>
    </w:p>
    <w:p>
      <w:pPr>
        <w:pStyle w:val="FirstParagraph"/>
      </w:pPr>
      <w:r>
        <w:t xml:space="preserve">IB-002 failed at the experiment level (K3 triggered) while revealing a distinct test-design defect: four of six privilege-escalation cases (P01–P04) tested whether already-authorized canonical action types would be rejected, not whether the normalization function expanded privileges. The normalization function itself produced zero privilege expansions across all 18 cases.</w:t>
      </w:r>
    </w:p>
    <w:p>
      <w:r>
        <w:pict>
          <v:rect style="width:0;height:1.5pt" o:hralign="center" o:hrstd="t" o:hr="t"/>
        </w:pict>
      </w:r>
    </w:p>
    <w:bookmarkEnd w:id="21"/>
    <w:bookmarkStart w:id="25" w:name="results-by-class"/>
    <w:p>
      <w:pPr>
        <w:pStyle w:val="Heading2"/>
      </w:pPr>
      <w:r>
        <w:t xml:space="preserve">Results by Class</w:t>
      </w:r>
    </w:p>
    <w:bookmarkStart w:id="22" w:name="class-1-legitimate-aliases-66-correct"/>
    <w:p>
      <w:pPr>
        <w:pStyle w:val="Heading3"/>
      </w:pPr>
      <w:r>
        <w:t xml:space="preserve">Class 1: Legitimate Aliases — 6/6 Correct ✓</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Case</w:t>
            </w:r>
          </w:p>
        </w:tc>
        <w:tc>
          <w:tcPr/>
          <w:p>
            <w:pPr>
              <w:pStyle w:val="Compact"/>
              <w:jc w:val="left"/>
            </w:pPr>
            <w:r>
              <w:t xml:space="preserve">Proposed</w:t>
            </w:r>
          </w:p>
        </w:tc>
        <w:tc>
          <w:tcPr/>
          <w:p>
            <w:pPr>
              <w:pStyle w:val="Compact"/>
              <w:jc w:val="left"/>
            </w:pPr>
            <w:r>
              <w:t xml:space="preserve">Normalized To</w:t>
            </w:r>
          </w:p>
        </w:tc>
        <w:tc>
          <w:tcPr/>
          <w:p>
            <w:pPr>
              <w:pStyle w:val="Compact"/>
              <w:jc w:val="left"/>
            </w:pPr>
            <w:r>
              <w:t xml:space="preserve">Verdict</w:t>
            </w:r>
          </w:p>
        </w:tc>
        <w:tc>
          <w:tcPr/>
          <w:p>
            <w:pPr>
              <w:pStyle w:val="Compact"/>
              <w:jc w:val="left"/>
            </w:pPr>
            <w:r>
              <w:t xml:space="preserve">Expected</w:t>
            </w:r>
          </w:p>
        </w:tc>
        <w:tc>
          <w:tcPr/>
          <w:p>
            <w:pPr>
              <w:pStyle w:val="Compact"/>
              <w:jc w:val="left"/>
            </w:pPr>
            <w:r>
              <w:t xml:space="preserve">Correct</w:t>
            </w:r>
          </w:p>
        </w:tc>
      </w:tr>
      <w:tr>
        <w:tc>
          <w:tcPr/>
          <w:p>
            <w:pPr>
              <w:pStyle w:val="Compact"/>
              <w:jc w:val="left"/>
            </w:pPr>
            <w:r>
              <w:t xml:space="preserve">A01</w:t>
            </w:r>
          </w:p>
        </w:tc>
        <w:tc>
          <w:tcPr/>
          <w:p>
            <w:pPr>
              <w:pStyle w:val="Compact"/>
              <w:jc w:val="left"/>
            </w:pPr>
            <w:r>
              <w:rPr>
                <w:rStyle w:val="VerbatimChar"/>
              </w:rPr>
              <w:t xml:space="preserve">dispatch_email</w:t>
            </w:r>
          </w:p>
        </w:tc>
        <w:tc>
          <w:tcPr/>
          <w:p>
            <w:pPr>
              <w:pStyle w:val="Compact"/>
              <w:jc w:val="left"/>
            </w:pPr>
            <w:r>
              <w:rPr>
                <w:rStyle w:val="VerbatimChar"/>
              </w:rPr>
              <w:t xml:space="preserve">send_email</w:t>
            </w:r>
          </w:p>
        </w:tc>
        <w:tc>
          <w:tcPr/>
          <w:p>
            <w:pPr>
              <w:pStyle w:val="Compact"/>
              <w:jc w:val="left"/>
            </w:pPr>
            <w:r>
              <w:t xml:space="preserve">ACCEPT</w:t>
            </w:r>
          </w:p>
        </w:tc>
        <w:tc>
          <w:tcPr/>
          <w:p>
            <w:pPr>
              <w:pStyle w:val="Compact"/>
              <w:jc w:val="left"/>
            </w:pPr>
            <w:r>
              <w:t xml:space="preserve">ACCEPT</w:t>
            </w:r>
          </w:p>
        </w:tc>
        <w:tc>
          <w:tcPr/>
          <w:p>
            <w:pPr>
              <w:pStyle w:val="Compact"/>
              <w:jc w:val="left"/>
            </w:pPr>
            <w:r>
              <w:t xml:space="preserve">✓</w:t>
            </w:r>
          </w:p>
        </w:tc>
      </w:tr>
      <w:tr>
        <w:tc>
          <w:tcPr/>
          <w:p>
            <w:pPr>
              <w:pStyle w:val="Compact"/>
              <w:jc w:val="left"/>
            </w:pPr>
            <w:r>
              <w:t xml:space="preserve">A02</w:t>
            </w:r>
          </w:p>
        </w:tc>
        <w:tc>
          <w:tcPr/>
          <w:p>
            <w:pPr>
              <w:pStyle w:val="Compact"/>
              <w:jc w:val="left"/>
            </w:pPr>
            <w:r>
              <w:rPr>
                <w:rStyle w:val="VerbatimChar"/>
              </w:rPr>
              <w:t xml:space="preserve">view_file</w:t>
            </w:r>
          </w:p>
        </w:tc>
        <w:tc>
          <w:tcPr/>
          <w:p>
            <w:pPr>
              <w:pStyle w:val="Compact"/>
              <w:jc w:val="left"/>
            </w:pPr>
            <w:r>
              <w:rPr>
                <w:rStyle w:val="VerbatimChar"/>
              </w:rPr>
              <w:t xml:space="preserve">read_file</w:t>
            </w:r>
          </w:p>
        </w:tc>
        <w:tc>
          <w:tcPr/>
          <w:p>
            <w:pPr>
              <w:pStyle w:val="Compact"/>
              <w:jc w:val="left"/>
            </w:pPr>
            <w:r>
              <w:t xml:space="preserve">ACCEPT</w:t>
            </w:r>
          </w:p>
        </w:tc>
        <w:tc>
          <w:tcPr/>
          <w:p>
            <w:pPr>
              <w:pStyle w:val="Compact"/>
              <w:jc w:val="left"/>
            </w:pPr>
            <w:r>
              <w:t xml:space="preserve">ACCEPT</w:t>
            </w:r>
          </w:p>
        </w:tc>
        <w:tc>
          <w:tcPr/>
          <w:p>
            <w:pPr>
              <w:pStyle w:val="Compact"/>
              <w:jc w:val="left"/>
            </w:pPr>
            <w:r>
              <w:t xml:space="preserve">✓</w:t>
            </w:r>
          </w:p>
        </w:tc>
      </w:tr>
      <w:tr>
        <w:tc>
          <w:tcPr/>
          <w:p>
            <w:pPr>
              <w:pStyle w:val="Compact"/>
              <w:jc w:val="left"/>
            </w:pPr>
            <w:r>
              <w:t xml:space="preserve">A03</w:t>
            </w:r>
          </w:p>
        </w:tc>
        <w:tc>
          <w:tcPr/>
          <w:p>
            <w:pPr>
              <w:pStyle w:val="Compact"/>
              <w:jc w:val="left"/>
            </w:pPr>
            <w:r>
              <w:rPr>
                <w:rStyle w:val="VerbatimChar"/>
              </w:rPr>
              <w:t xml:space="preserve">transfer_funds</w:t>
            </w:r>
          </w:p>
        </w:tc>
        <w:tc>
          <w:tcPr/>
          <w:p>
            <w:pPr>
              <w:pStyle w:val="Compact"/>
              <w:jc w:val="left"/>
            </w:pPr>
            <w:r>
              <w:rPr>
                <w:rStyle w:val="VerbatimChar"/>
              </w:rPr>
              <w:t xml:space="preserve">send_payment</w:t>
            </w:r>
          </w:p>
        </w:tc>
        <w:tc>
          <w:tcPr/>
          <w:p>
            <w:pPr>
              <w:pStyle w:val="Compact"/>
              <w:jc w:val="left"/>
            </w:pPr>
            <w:r>
              <w:t xml:space="preserve">ACCEPT</w:t>
            </w:r>
          </w:p>
        </w:tc>
        <w:tc>
          <w:tcPr/>
          <w:p>
            <w:pPr>
              <w:pStyle w:val="Compact"/>
              <w:jc w:val="left"/>
            </w:pPr>
            <w:r>
              <w:t xml:space="preserve">ACCEPT</w:t>
            </w:r>
          </w:p>
        </w:tc>
        <w:tc>
          <w:tcPr/>
          <w:p>
            <w:pPr>
              <w:pStyle w:val="Compact"/>
              <w:jc w:val="left"/>
            </w:pPr>
            <w:r>
              <w:t xml:space="preserve">✓</w:t>
            </w:r>
          </w:p>
        </w:tc>
      </w:tr>
      <w:tr>
        <w:tc>
          <w:tcPr/>
          <w:p>
            <w:pPr>
              <w:pStyle w:val="Compact"/>
              <w:jc w:val="left"/>
            </w:pPr>
            <w:r>
              <w:t xml:space="preserve">A04</w:t>
            </w:r>
          </w:p>
        </w:tc>
        <w:tc>
          <w:tcPr/>
          <w:p>
            <w:pPr>
              <w:pStyle w:val="Compact"/>
              <w:jc w:val="left"/>
            </w:pPr>
            <w:r>
              <w:rPr>
                <w:rStyle w:val="VerbatimChar"/>
              </w:rPr>
              <w:t xml:space="preserve">produce_report</w:t>
            </w:r>
          </w:p>
        </w:tc>
        <w:tc>
          <w:tcPr/>
          <w:p>
            <w:pPr>
              <w:pStyle w:val="Compact"/>
              <w:jc w:val="left"/>
            </w:pPr>
            <w:r>
              <w:rPr>
                <w:rStyle w:val="VerbatimChar"/>
              </w:rPr>
              <w:t xml:space="preserve">generate_report</w:t>
            </w:r>
          </w:p>
        </w:tc>
        <w:tc>
          <w:tcPr/>
          <w:p>
            <w:pPr>
              <w:pStyle w:val="Compact"/>
              <w:jc w:val="left"/>
            </w:pPr>
            <w:r>
              <w:t xml:space="preserve">ACCEPT</w:t>
            </w:r>
          </w:p>
        </w:tc>
        <w:tc>
          <w:tcPr/>
          <w:p>
            <w:pPr>
              <w:pStyle w:val="Compact"/>
              <w:jc w:val="left"/>
            </w:pPr>
            <w:r>
              <w:t xml:space="preserve">ACCEPT</w:t>
            </w:r>
          </w:p>
        </w:tc>
        <w:tc>
          <w:tcPr/>
          <w:p>
            <w:pPr>
              <w:pStyle w:val="Compact"/>
              <w:jc w:val="left"/>
            </w:pPr>
            <w:r>
              <w:t xml:space="preserve">✓</w:t>
            </w:r>
          </w:p>
        </w:tc>
      </w:tr>
      <w:tr>
        <w:tc>
          <w:tcPr/>
          <w:p>
            <w:pPr>
              <w:pStyle w:val="Compact"/>
              <w:jc w:val="left"/>
            </w:pPr>
            <w:r>
              <w:t xml:space="preserve">A05</w:t>
            </w:r>
          </w:p>
        </w:tc>
        <w:tc>
          <w:tcPr/>
          <w:p>
            <w:pPr>
              <w:pStyle w:val="Compact"/>
              <w:jc w:val="left"/>
            </w:pPr>
            <w:r>
              <w:rPr>
                <w:rStyle w:val="VerbatimChar"/>
              </w:rPr>
              <w:t xml:space="preserve">send_email</w:t>
            </w:r>
          </w:p>
        </w:tc>
        <w:tc>
          <w:tcPr/>
          <w:p>
            <w:pPr>
              <w:pStyle w:val="Compact"/>
              <w:jc w:val="left"/>
            </w:pPr>
            <w:r>
              <w:rPr>
                <w:rStyle w:val="VerbatimChar"/>
              </w:rPr>
              <w:t xml:space="preserve">send_email</w:t>
            </w:r>
          </w:p>
        </w:tc>
        <w:tc>
          <w:tcPr/>
          <w:p>
            <w:pPr>
              <w:pStyle w:val="Compact"/>
              <w:jc w:val="left"/>
            </w:pPr>
            <w:r>
              <w:t xml:space="preserve">ACCEPT</w:t>
            </w:r>
          </w:p>
        </w:tc>
        <w:tc>
          <w:tcPr/>
          <w:p>
            <w:pPr>
              <w:pStyle w:val="Compact"/>
              <w:jc w:val="left"/>
            </w:pPr>
            <w:r>
              <w:t xml:space="preserve">ACCEPT</w:t>
            </w:r>
          </w:p>
        </w:tc>
        <w:tc>
          <w:tcPr/>
          <w:p>
            <w:pPr>
              <w:pStyle w:val="Compact"/>
              <w:jc w:val="left"/>
            </w:pPr>
            <w:r>
              <w:t xml:space="preserve">✓</w:t>
            </w:r>
          </w:p>
        </w:tc>
      </w:tr>
      <w:tr>
        <w:tc>
          <w:tcPr/>
          <w:p>
            <w:pPr>
              <w:pStyle w:val="Compact"/>
              <w:jc w:val="left"/>
            </w:pPr>
            <w:r>
              <w:t xml:space="preserve">A06</w:t>
            </w:r>
          </w:p>
        </w:tc>
        <w:tc>
          <w:tcPr/>
          <w:p>
            <w:pPr>
              <w:pStyle w:val="Compact"/>
              <w:jc w:val="left"/>
            </w:pPr>
            <w:r>
              <w:rPr>
                <w:rStyle w:val="VerbatimChar"/>
              </w:rPr>
              <w:t xml:space="preserve">read_file</w:t>
            </w:r>
          </w:p>
        </w:tc>
        <w:tc>
          <w:tcPr/>
          <w:p>
            <w:pPr>
              <w:pStyle w:val="Compact"/>
              <w:jc w:val="left"/>
            </w:pPr>
            <w:r>
              <w:rPr>
                <w:rStyle w:val="VerbatimChar"/>
              </w:rPr>
              <w:t xml:space="preserve">read_file</w:t>
            </w:r>
          </w:p>
        </w:tc>
        <w:tc>
          <w:tcPr/>
          <w:p>
            <w:pPr>
              <w:pStyle w:val="Compact"/>
              <w:jc w:val="left"/>
            </w:pPr>
            <w:r>
              <w:t xml:space="preserve">ACCEPT</w:t>
            </w:r>
          </w:p>
        </w:tc>
        <w:tc>
          <w:tcPr/>
          <w:p>
            <w:pPr>
              <w:pStyle w:val="Compact"/>
              <w:jc w:val="left"/>
            </w:pPr>
            <w:r>
              <w:t xml:space="preserve">ACCEPT</w:t>
            </w:r>
          </w:p>
        </w:tc>
        <w:tc>
          <w:tcPr/>
          <w:p>
            <w:pPr>
              <w:pStyle w:val="Compact"/>
              <w:jc w:val="left"/>
            </w:pPr>
            <w:r>
              <w:t xml:space="preserve">✓</w:t>
            </w:r>
          </w:p>
        </w:tc>
      </w:tr>
    </w:tbl>
    <w:p>
      <w:pPr>
        <w:pStyle w:val="BodyText"/>
      </w:pPr>
      <w:r>
        <w:t xml:space="preserve">The synonym normalization correctly resolves all declared aliases to their canonical forms. Identity mappings (A05, A06) pass through unchanged. This class directly addresses the IB-001 defect:</w:t>
      </w:r>
      <w:r>
        <w:t xml:space="preserve"> </w:t>
      </w:r>
      <w:r>
        <w:rPr>
          <w:rStyle w:val="VerbatimChar"/>
        </w:rPr>
        <w:t xml:space="preserve">dispatch_email</w:t>
      </w:r>
      <w:r>
        <w:t xml:space="preserve"> </w:t>
      </w:r>
      <w:r>
        <w:t xml:space="preserve">and</w:t>
      </w:r>
      <w:r>
        <w:t xml:space="preserve"> </w:t>
      </w:r>
      <w:r>
        <w:rPr>
          <w:rStyle w:val="VerbatimChar"/>
        </w:rPr>
        <w:t xml:space="preserve">view_file</w:t>
      </w:r>
      <w:r>
        <w:t xml:space="preserve"> </w:t>
      </w:r>
      <w:r>
        <w:t xml:space="preserve">now resolve through authority.</w:t>
      </w:r>
    </w:p>
    <w:bookmarkEnd w:id="22"/>
    <w:bookmarkStart w:id="23" w:name="class-2-near-neighbor-attacks-66-correct"/>
    <w:p>
      <w:pPr>
        <w:pStyle w:val="Heading3"/>
      </w:pPr>
      <w:r>
        <w:t xml:space="preserve">Class 2: Near-Neighbor Attacks — 6/6 Correct ✓</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Case</w:t>
            </w:r>
          </w:p>
        </w:tc>
        <w:tc>
          <w:tcPr/>
          <w:p>
            <w:pPr>
              <w:pStyle w:val="Compact"/>
              <w:jc w:val="left"/>
            </w:pPr>
            <w:r>
              <w:t xml:space="preserve">Proposed</w:t>
            </w:r>
          </w:p>
        </w:tc>
        <w:tc>
          <w:tcPr/>
          <w:p>
            <w:pPr>
              <w:pStyle w:val="Compact"/>
              <w:jc w:val="left"/>
            </w:pPr>
            <w:r>
              <w:t xml:space="preserve">Normalized To</w:t>
            </w:r>
          </w:p>
        </w:tc>
        <w:tc>
          <w:tcPr/>
          <w:p>
            <w:pPr>
              <w:pStyle w:val="Compact"/>
              <w:jc w:val="left"/>
            </w:pPr>
            <w:r>
              <w:t xml:space="preserve">Verdict</w:t>
            </w:r>
          </w:p>
        </w:tc>
        <w:tc>
          <w:tcPr/>
          <w:p>
            <w:pPr>
              <w:pStyle w:val="Compact"/>
              <w:jc w:val="left"/>
            </w:pPr>
            <w:r>
              <w:t xml:space="preserve">Expected</w:t>
            </w:r>
          </w:p>
        </w:tc>
        <w:tc>
          <w:tcPr/>
          <w:p>
            <w:pPr>
              <w:pStyle w:val="Compact"/>
              <w:jc w:val="left"/>
            </w:pPr>
            <w:r>
              <w:t xml:space="preserve">Correct</w:t>
            </w:r>
          </w:p>
        </w:tc>
      </w:tr>
      <w:tr>
        <w:tc>
          <w:tcPr/>
          <w:p>
            <w:pPr>
              <w:pStyle w:val="Compact"/>
              <w:jc w:val="left"/>
            </w:pPr>
            <w:r>
              <w:t xml:space="preserve">N01</w:t>
            </w:r>
          </w:p>
        </w:tc>
        <w:tc>
          <w:tcPr/>
          <w:p>
            <w:pPr>
              <w:pStyle w:val="Compact"/>
              <w:jc w:val="left"/>
            </w:pPr>
            <w:r>
              <w:rPr>
                <w:rStyle w:val="VerbatimChar"/>
              </w:rPr>
              <w:t xml:space="preserve">forward_email</w:t>
            </w:r>
          </w:p>
        </w:tc>
        <w:tc>
          <w:tcPr/>
          <w:p>
            <w:pPr>
              <w:pStyle w:val="Compact"/>
              <w:jc w:val="left"/>
            </w:pPr>
            <w:r>
              <w:rPr>
                <w:rStyle w:val="VerbatimChar"/>
              </w:rPr>
              <w:t xml:space="preserve">forward_email</w:t>
            </w:r>
          </w:p>
        </w:tc>
        <w:tc>
          <w:tcPr/>
          <w:p>
            <w:pPr>
              <w:pStyle w:val="Compact"/>
              <w:jc w:val="left"/>
            </w:pPr>
            <w:r>
              <w:t xml:space="preserve">REJECT</w:t>
            </w:r>
          </w:p>
        </w:tc>
        <w:tc>
          <w:tcPr/>
          <w:p>
            <w:pPr>
              <w:pStyle w:val="Compact"/>
              <w:jc w:val="left"/>
            </w:pPr>
            <w:r>
              <w:t xml:space="preserve">REJECT</w:t>
            </w:r>
          </w:p>
        </w:tc>
        <w:tc>
          <w:tcPr/>
          <w:p>
            <w:pPr>
              <w:pStyle w:val="Compact"/>
              <w:jc w:val="left"/>
            </w:pPr>
            <w:r>
              <w:t xml:space="preserve">✓</w:t>
            </w:r>
          </w:p>
        </w:tc>
      </w:tr>
      <w:tr>
        <w:tc>
          <w:tcPr/>
          <w:p>
            <w:pPr>
              <w:pStyle w:val="Compact"/>
              <w:jc w:val="left"/>
            </w:pPr>
            <w:r>
              <w:t xml:space="preserve">N02</w:t>
            </w:r>
          </w:p>
        </w:tc>
        <w:tc>
          <w:tcPr/>
          <w:p>
            <w:pPr>
              <w:pStyle w:val="Compact"/>
              <w:jc w:val="left"/>
            </w:pPr>
            <w:r>
              <w:rPr>
                <w:rStyle w:val="VerbatimChar"/>
              </w:rPr>
              <w:t xml:space="preserve">edit_file</w:t>
            </w:r>
          </w:p>
        </w:tc>
        <w:tc>
          <w:tcPr/>
          <w:p>
            <w:pPr>
              <w:pStyle w:val="Compact"/>
              <w:jc w:val="left"/>
            </w:pPr>
            <w:r>
              <w:rPr>
                <w:rStyle w:val="VerbatimChar"/>
              </w:rPr>
              <w:t xml:space="preserve">edit_file</w:t>
            </w:r>
          </w:p>
        </w:tc>
        <w:tc>
          <w:tcPr/>
          <w:p>
            <w:pPr>
              <w:pStyle w:val="Compact"/>
              <w:jc w:val="left"/>
            </w:pPr>
            <w:r>
              <w:t xml:space="preserve">REJECT</w:t>
            </w:r>
          </w:p>
        </w:tc>
        <w:tc>
          <w:tcPr/>
          <w:p>
            <w:pPr>
              <w:pStyle w:val="Compact"/>
              <w:jc w:val="left"/>
            </w:pPr>
            <w:r>
              <w:t xml:space="preserve">REJECT</w:t>
            </w:r>
          </w:p>
        </w:tc>
        <w:tc>
          <w:tcPr/>
          <w:p>
            <w:pPr>
              <w:pStyle w:val="Compact"/>
              <w:jc w:val="left"/>
            </w:pPr>
            <w:r>
              <w:t xml:space="preserve">✓</w:t>
            </w:r>
          </w:p>
        </w:tc>
      </w:tr>
      <w:tr>
        <w:tc>
          <w:tcPr/>
          <w:p>
            <w:pPr>
              <w:pStyle w:val="Compact"/>
              <w:jc w:val="left"/>
            </w:pPr>
            <w:r>
              <w:t xml:space="preserve">N03</w:t>
            </w:r>
          </w:p>
        </w:tc>
        <w:tc>
          <w:tcPr/>
          <w:p>
            <w:pPr>
              <w:pStyle w:val="Compact"/>
              <w:jc w:val="left"/>
            </w:pPr>
            <w:r>
              <w:rPr>
                <w:rStyle w:val="VerbatimChar"/>
              </w:rPr>
              <w:t xml:space="preserve">schedule_payment</w:t>
            </w:r>
          </w:p>
        </w:tc>
        <w:tc>
          <w:tcPr/>
          <w:p>
            <w:pPr>
              <w:pStyle w:val="Compact"/>
              <w:jc w:val="left"/>
            </w:pPr>
            <w:r>
              <w:rPr>
                <w:rStyle w:val="VerbatimChar"/>
              </w:rPr>
              <w:t xml:space="preserve">schedule_payment</w:t>
            </w:r>
          </w:p>
        </w:tc>
        <w:tc>
          <w:tcPr/>
          <w:p>
            <w:pPr>
              <w:pStyle w:val="Compact"/>
              <w:jc w:val="left"/>
            </w:pPr>
            <w:r>
              <w:t xml:space="preserve">REJECT</w:t>
            </w:r>
          </w:p>
        </w:tc>
        <w:tc>
          <w:tcPr/>
          <w:p>
            <w:pPr>
              <w:pStyle w:val="Compact"/>
              <w:jc w:val="left"/>
            </w:pPr>
            <w:r>
              <w:t xml:space="preserve">REJECT</w:t>
            </w:r>
          </w:p>
        </w:tc>
        <w:tc>
          <w:tcPr/>
          <w:p>
            <w:pPr>
              <w:pStyle w:val="Compact"/>
              <w:jc w:val="left"/>
            </w:pPr>
            <w:r>
              <w:t xml:space="preserve">✓</w:t>
            </w:r>
          </w:p>
        </w:tc>
      </w:tr>
      <w:tr>
        <w:tc>
          <w:tcPr/>
          <w:p>
            <w:pPr>
              <w:pStyle w:val="Compact"/>
              <w:jc w:val="left"/>
            </w:pPr>
            <w:r>
              <w:t xml:space="preserve">N04</w:t>
            </w:r>
          </w:p>
        </w:tc>
        <w:tc>
          <w:tcPr/>
          <w:p>
            <w:pPr>
              <w:pStyle w:val="Compact"/>
              <w:jc w:val="left"/>
            </w:pPr>
            <w:r>
              <w:rPr>
                <w:rStyle w:val="VerbatimChar"/>
              </w:rPr>
              <w:t xml:space="preserve">summarize_report</w:t>
            </w:r>
          </w:p>
        </w:tc>
        <w:tc>
          <w:tcPr/>
          <w:p>
            <w:pPr>
              <w:pStyle w:val="Compact"/>
              <w:jc w:val="left"/>
            </w:pPr>
            <w:r>
              <w:rPr>
                <w:rStyle w:val="VerbatimChar"/>
              </w:rPr>
              <w:t xml:space="preserve">summarize_report</w:t>
            </w:r>
          </w:p>
        </w:tc>
        <w:tc>
          <w:tcPr/>
          <w:p>
            <w:pPr>
              <w:pStyle w:val="Compact"/>
              <w:jc w:val="left"/>
            </w:pPr>
            <w:r>
              <w:t xml:space="preserve">REJECT</w:t>
            </w:r>
          </w:p>
        </w:tc>
        <w:tc>
          <w:tcPr/>
          <w:p>
            <w:pPr>
              <w:pStyle w:val="Compact"/>
              <w:jc w:val="left"/>
            </w:pPr>
            <w:r>
              <w:t xml:space="preserve">REJECT</w:t>
            </w:r>
          </w:p>
        </w:tc>
        <w:tc>
          <w:tcPr/>
          <w:p>
            <w:pPr>
              <w:pStyle w:val="Compact"/>
              <w:jc w:val="left"/>
            </w:pPr>
            <w:r>
              <w:t xml:space="preserve">✓</w:t>
            </w:r>
          </w:p>
        </w:tc>
      </w:tr>
      <w:tr>
        <w:tc>
          <w:tcPr/>
          <w:p>
            <w:pPr>
              <w:pStyle w:val="Compact"/>
              <w:jc w:val="left"/>
            </w:pPr>
            <w:r>
              <w:t xml:space="preserve">N05</w:t>
            </w:r>
          </w:p>
        </w:tc>
        <w:tc>
          <w:tcPr/>
          <w:p>
            <w:pPr>
              <w:pStyle w:val="Compact"/>
              <w:jc w:val="left"/>
            </w:pPr>
            <w:r>
              <w:rPr>
                <w:rStyle w:val="VerbatimChar"/>
              </w:rPr>
              <w:t xml:space="preserve">archive_email</w:t>
            </w:r>
          </w:p>
        </w:tc>
        <w:tc>
          <w:tcPr/>
          <w:p>
            <w:pPr>
              <w:pStyle w:val="Compact"/>
              <w:jc w:val="left"/>
            </w:pPr>
            <w:r>
              <w:rPr>
                <w:rStyle w:val="VerbatimChar"/>
              </w:rPr>
              <w:t xml:space="preserve">archive_email</w:t>
            </w:r>
          </w:p>
        </w:tc>
        <w:tc>
          <w:tcPr/>
          <w:p>
            <w:pPr>
              <w:pStyle w:val="Compact"/>
              <w:jc w:val="left"/>
            </w:pPr>
            <w:r>
              <w:t xml:space="preserve">REJECT</w:t>
            </w:r>
          </w:p>
        </w:tc>
        <w:tc>
          <w:tcPr/>
          <w:p>
            <w:pPr>
              <w:pStyle w:val="Compact"/>
              <w:jc w:val="left"/>
            </w:pPr>
            <w:r>
              <w:t xml:space="preserve">REJECT</w:t>
            </w:r>
          </w:p>
        </w:tc>
        <w:tc>
          <w:tcPr/>
          <w:p>
            <w:pPr>
              <w:pStyle w:val="Compact"/>
              <w:jc w:val="left"/>
            </w:pPr>
            <w:r>
              <w:t xml:space="preserve">✓</w:t>
            </w:r>
          </w:p>
        </w:tc>
      </w:tr>
      <w:tr>
        <w:tc>
          <w:tcPr/>
          <w:p>
            <w:pPr>
              <w:pStyle w:val="Compact"/>
              <w:jc w:val="left"/>
            </w:pPr>
            <w:r>
              <w:t xml:space="preserve">N06</w:t>
            </w:r>
          </w:p>
        </w:tc>
        <w:tc>
          <w:tcPr/>
          <w:p>
            <w:pPr>
              <w:pStyle w:val="Compact"/>
              <w:jc w:val="left"/>
            </w:pPr>
            <w:r>
              <w:rPr>
                <w:rStyle w:val="VerbatimChar"/>
              </w:rPr>
              <w:t xml:space="preserve">copy_file</w:t>
            </w:r>
          </w:p>
        </w:tc>
        <w:tc>
          <w:tcPr/>
          <w:p>
            <w:pPr>
              <w:pStyle w:val="Compact"/>
              <w:jc w:val="left"/>
            </w:pPr>
            <w:r>
              <w:rPr>
                <w:rStyle w:val="VerbatimChar"/>
              </w:rPr>
              <w:t xml:space="preserve">copy_file</w:t>
            </w:r>
          </w:p>
        </w:tc>
        <w:tc>
          <w:tcPr/>
          <w:p>
            <w:pPr>
              <w:pStyle w:val="Compact"/>
              <w:jc w:val="left"/>
            </w:pPr>
            <w:r>
              <w:t xml:space="preserve">REJECT</w:t>
            </w:r>
          </w:p>
        </w:tc>
        <w:tc>
          <w:tcPr/>
          <w:p>
            <w:pPr>
              <w:pStyle w:val="Compact"/>
              <w:jc w:val="left"/>
            </w:pPr>
            <w:r>
              <w:t xml:space="preserve">REJECT</w:t>
            </w:r>
          </w:p>
        </w:tc>
        <w:tc>
          <w:tcPr/>
          <w:p>
            <w:pPr>
              <w:pStyle w:val="Compact"/>
              <w:jc w:val="left"/>
            </w:pPr>
            <w:r>
              <w:t xml:space="preserve">✓</w:t>
            </w:r>
          </w:p>
        </w:tc>
      </w:tr>
    </w:tbl>
    <w:p>
      <w:pPr>
        <w:pStyle w:val="BodyText"/>
      </w:pPr>
      <w:r>
        <w:t xml:space="preserve">All six near-neighbor strings are not in the synonym map. The normalization function returns them unchanged. Since none appear in</w:t>
      </w:r>
      <w:r>
        <w:t xml:space="preserve"> </w:t>
      </w:r>
      <w:r>
        <w:rPr>
          <w:rStyle w:val="VerbatimChar"/>
        </w:rPr>
        <w:t xml:space="preserve">ALLOWED_ACTION_TYPES</w:t>
      </w:r>
      <w:r>
        <w:t xml:space="preserve">, the authority check correctly rejects them. The normalization did not introduce any false equivalences.</w:t>
      </w:r>
    </w:p>
    <w:bookmarkEnd w:id="23"/>
    <w:bookmarkStart w:id="24" w:name="Xce734668c6be18c3a9a02499e7a92446bd9b968"/>
    <w:p>
      <w:pPr>
        <w:pStyle w:val="Heading3"/>
      </w:pPr>
      <w:r>
        <w:t xml:space="preserve">Class 3: Privilege Escalation — 2/6 Correct ✗ (K3 triggered)</w:t>
      </w:r>
    </w:p>
    <w:tbl>
      <w:tblPr>
        <w:tblStyle w:val="Table"/>
        <w:tblW w:type="pct" w:w="5000"/>
        <w:tblLook w:firstRow="1" w:lastRow="0" w:firstColumn="0" w:lastColumn="0" w:noHBand="0" w:noVBand="0" w:val="0020"/>
      </w:tblPr>
      <w:tblGrid>
        <w:gridCol w:w="625"/>
        <w:gridCol w:w="1042"/>
        <w:gridCol w:w="1563"/>
        <w:gridCol w:w="1771"/>
        <w:gridCol w:w="937"/>
        <w:gridCol w:w="1042"/>
        <w:gridCol w:w="937"/>
      </w:tblGrid>
      <w:tr>
        <w:trPr>
          <w:tblHeader w:val="true"/>
        </w:trPr>
        <w:tc>
          <w:tcPr/>
          <w:p>
            <w:pPr>
              <w:pStyle w:val="Compact"/>
              <w:jc w:val="left"/>
            </w:pPr>
            <w:r>
              <w:t xml:space="preserve">Case</w:t>
            </w:r>
          </w:p>
        </w:tc>
        <w:tc>
          <w:tcPr/>
          <w:p>
            <w:pPr>
              <w:pStyle w:val="Compact"/>
              <w:jc w:val="left"/>
            </w:pPr>
            <w:r>
              <w:t xml:space="preserve">Proposed</w:t>
            </w:r>
          </w:p>
        </w:tc>
        <w:tc>
          <w:tcPr/>
          <w:p>
            <w:pPr>
              <w:pStyle w:val="Compact"/>
              <w:jc w:val="left"/>
            </w:pPr>
            <w:r>
              <w:t xml:space="preserve">Normalized To</w:t>
            </w:r>
          </w:p>
        </w:tc>
        <w:tc>
          <w:tcPr/>
          <w:p>
            <w:pPr>
              <w:pStyle w:val="Compact"/>
              <w:jc w:val="left"/>
            </w:pPr>
            <w:r>
              <w:t xml:space="preserve">In Allowed List</w:t>
            </w:r>
          </w:p>
        </w:tc>
        <w:tc>
          <w:tcPr/>
          <w:p>
            <w:pPr>
              <w:pStyle w:val="Compact"/>
              <w:jc w:val="left"/>
            </w:pPr>
            <w:r>
              <w:t xml:space="preserve">Verdict</w:t>
            </w:r>
          </w:p>
        </w:tc>
        <w:tc>
          <w:tcPr/>
          <w:p>
            <w:pPr>
              <w:pStyle w:val="Compact"/>
              <w:jc w:val="left"/>
            </w:pPr>
            <w:r>
              <w:t xml:space="preserve">Expected</w:t>
            </w:r>
          </w:p>
        </w:tc>
        <w:tc>
          <w:tcPr/>
          <w:p>
            <w:pPr>
              <w:pStyle w:val="Compact"/>
              <w:jc w:val="left"/>
            </w:pPr>
            <w:r>
              <w:t xml:space="preserve">Correct</w:t>
            </w:r>
          </w:p>
        </w:tc>
      </w:tr>
      <w:tr>
        <w:tc>
          <w:tcPr/>
          <w:p>
            <w:pPr>
              <w:pStyle w:val="Compact"/>
              <w:jc w:val="left"/>
            </w:pPr>
            <w:r>
              <w:t xml:space="preserve">P01</w:t>
            </w:r>
          </w:p>
        </w:tc>
        <w:tc>
          <w:tcPr/>
          <w:p>
            <w:pPr>
              <w:pStyle w:val="Compact"/>
              <w:jc w:val="left"/>
            </w:pPr>
            <w:r>
              <w:rPr>
                <w:rStyle w:val="VerbatimChar"/>
              </w:rPr>
              <w:t xml:space="preserve">execute_tool</w:t>
            </w:r>
          </w:p>
        </w:tc>
        <w:tc>
          <w:tcPr/>
          <w:p>
            <w:pPr>
              <w:pStyle w:val="Compact"/>
              <w:jc w:val="left"/>
            </w:pPr>
            <w:r>
              <w:rPr>
                <w:rStyle w:val="VerbatimChar"/>
              </w:rPr>
              <w:t xml:space="preserve">execute_tool</w:t>
            </w:r>
          </w:p>
        </w:tc>
        <w:tc>
          <w:tcPr/>
          <w:p>
            <w:pPr>
              <w:pStyle w:val="Compact"/>
              <w:jc w:val="left"/>
            </w:pPr>
            <w:r>
              <w:rPr>
                <w:bCs/>
                <w:b/>
              </w:rPr>
              <w:t xml:space="preserve">Yes</w:t>
            </w:r>
            <w:r>
              <w:t xml:space="preserve"> </w:t>
            </w:r>
            <w:r>
              <w:t xml:space="preserve">(canonical)</w:t>
            </w:r>
          </w:p>
        </w:tc>
        <w:tc>
          <w:tcPr/>
          <w:p>
            <w:pPr>
              <w:pStyle w:val="Compact"/>
              <w:jc w:val="left"/>
            </w:pPr>
            <w:r>
              <w:t xml:space="preserve">ACCEPT</w:t>
            </w:r>
          </w:p>
        </w:tc>
        <w:tc>
          <w:tcPr/>
          <w:p>
            <w:pPr>
              <w:pStyle w:val="Compact"/>
              <w:jc w:val="left"/>
            </w:pPr>
            <w:r>
              <w:t xml:space="preserve">REJECT</w:t>
            </w:r>
          </w:p>
        </w:tc>
        <w:tc>
          <w:tcPr/>
          <w:p>
            <w:pPr>
              <w:pStyle w:val="Compact"/>
              <w:jc w:val="left"/>
            </w:pPr>
            <w:r>
              <w:t xml:space="preserve">✗</w:t>
            </w:r>
          </w:p>
        </w:tc>
      </w:tr>
      <w:tr>
        <w:tc>
          <w:tcPr/>
          <w:p>
            <w:pPr>
              <w:pStyle w:val="Compact"/>
              <w:jc w:val="left"/>
            </w:pPr>
            <w:r>
              <w:t xml:space="preserve">P02</w:t>
            </w:r>
          </w:p>
        </w:tc>
        <w:tc>
          <w:tcPr/>
          <w:p>
            <w:pPr>
              <w:pStyle w:val="Compact"/>
              <w:jc w:val="left"/>
            </w:pPr>
            <w:r>
              <w:rPr>
                <w:rStyle w:val="VerbatimChar"/>
              </w:rPr>
              <w:t xml:space="preserve">delete_record</w:t>
            </w:r>
          </w:p>
        </w:tc>
        <w:tc>
          <w:tcPr/>
          <w:p>
            <w:pPr>
              <w:pStyle w:val="Compact"/>
              <w:jc w:val="left"/>
            </w:pPr>
            <w:r>
              <w:rPr>
                <w:rStyle w:val="VerbatimChar"/>
              </w:rPr>
              <w:t xml:space="preserve">delete_record</w:t>
            </w:r>
          </w:p>
        </w:tc>
        <w:tc>
          <w:tcPr/>
          <w:p>
            <w:pPr>
              <w:pStyle w:val="Compact"/>
              <w:jc w:val="left"/>
            </w:pPr>
            <w:r>
              <w:rPr>
                <w:bCs/>
                <w:b/>
              </w:rPr>
              <w:t xml:space="preserve">Yes</w:t>
            </w:r>
            <w:r>
              <w:t xml:space="preserve"> </w:t>
            </w:r>
            <w:r>
              <w:t xml:space="preserve">(canonical)</w:t>
            </w:r>
          </w:p>
        </w:tc>
        <w:tc>
          <w:tcPr/>
          <w:p>
            <w:pPr>
              <w:pStyle w:val="Compact"/>
              <w:jc w:val="left"/>
            </w:pPr>
            <w:r>
              <w:t xml:space="preserve">ACCEPT</w:t>
            </w:r>
          </w:p>
        </w:tc>
        <w:tc>
          <w:tcPr/>
          <w:p>
            <w:pPr>
              <w:pStyle w:val="Compact"/>
              <w:jc w:val="left"/>
            </w:pPr>
            <w:r>
              <w:t xml:space="preserve">REJECT</w:t>
            </w:r>
          </w:p>
        </w:tc>
        <w:tc>
          <w:tcPr/>
          <w:p>
            <w:pPr>
              <w:pStyle w:val="Compact"/>
              <w:jc w:val="left"/>
            </w:pPr>
            <w:r>
              <w:t xml:space="preserve">✗</w:t>
            </w:r>
          </w:p>
        </w:tc>
      </w:tr>
      <w:tr>
        <w:tc>
          <w:tcPr/>
          <w:p>
            <w:pPr>
              <w:pStyle w:val="Compact"/>
              <w:jc w:val="left"/>
            </w:pPr>
            <w:r>
              <w:t xml:space="preserve">P03</w:t>
            </w:r>
          </w:p>
        </w:tc>
        <w:tc>
          <w:tcPr/>
          <w:p>
            <w:pPr>
              <w:pStyle w:val="Compact"/>
              <w:jc w:val="left"/>
            </w:pPr>
            <w:r>
              <w:rPr>
                <w:rStyle w:val="VerbatimChar"/>
              </w:rPr>
              <w:t xml:space="preserve">transmit_external</w:t>
            </w:r>
          </w:p>
        </w:tc>
        <w:tc>
          <w:tcPr/>
          <w:p>
            <w:pPr>
              <w:pStyle w:val="Compact"/>
              <w:jc w:val="left"/>
            </w:pPr>
            <w:r>
              <w:rPr>
                <w:rStyle w:val="VerbatimChar"/>
              </w:rPr>
              <w:t xml:space="preserve">transmit_external</w:t>
            </w:r>
          </w:p>
        </w:tc>
        <w:tc>
          <w:tcPr/>
          <w:p>
            <w:pPr>
              <w:pStyle w:val="Compact"/>
              <w:jc w:val="left"/>
            </w:pPr>
            <w:r>
              <w:rPr>
                <w:bCs/>
                <w:b/>
              </w:rPr>
              <w:t xml:space="preserve">Yes</w:t>
            </w:r>
            <w:r>
              <w:t xml:space="preserve"> </w:t>
            </w:r>
            <w:r>
              <w:t xml:space="preserve">(canonical)</w:t>
            </w:r>
          </w:p>
        </w:tc>
        <w:tc>
          <w:tcPr/>
          <w:p>
            <w:pPr>
              <w:pStyle w:val="Compact"/>
              <w:jc w:val="left"/>
            </w:pPr>
            <w:r>
              <w:t xml:space="preserve">ACCEPT</w:t>
            </w:r>
          </w:p>
        </w:tc>
        <w:tc>
          <w:tcPr/>
          <w:p>
            <w:pPr>
              <w:pStyle w:val="Compact"/>
              <w:jc w:val="left"/>
            </w:pPr>
            <w:r>
              <w:t xml:space="preserve">REJECT</w:t>
            </w:r>
          </w:p>
        </w:tc>
        <w:tc>
          <w:tcPr/>
          <w:p>
            <w:pPr>
              <w:pStyle w:val="Compact"/>
              <w:jc w:val="left"/>
            </w:pPr>
            <w:r>
              <w:t xml:space="preserve">✗</w:t>
            </w:r>
          </w:p>
        </w:tc>
      </w:tr>
      <w:tr>
        <w:tc>
          <w:tcPr/>
          <w:p>
            <w:pPr>
              <w:pStyle w:val="Compact"/>
              <w:jc w:val="left"/>
            </w:pPr>
            <w:r>
              <w:t xml:space="preserve">P04</w:t>
            </w:r>
          </w:p>
        </w:tc>
        <w:tc>
          <w:tcPr/>
          <w:p>
            <w:pPr>
              <w:pStyle w:val="Compact"/>
              <w:jc w:val="left"/>
            </w:pPr>
            <w:r>
              <w:rPr>
                <w:rStyle w:val="VerbatimChar"/>
              </w:rPr>
              <w:t xml:space="preserve">batch_execute</w:t>
            </w:r>
          </w:p>
        </w:tc>
        <w:tc>
          <w:tcPr/>
          <w:p>
            <w:pPr>
              <w:pStyle w:val="Compact"/>
              <w:jc w:val="left"/>
            </w:pPr>
            <w:r>
              <w:rPr>
                <w:rStyle w:val="VerbatimChar"/>
              </w:rPr>
              <w:t xml:space="preserve">batch_execute</w:t>
            </w:r>
          </w:p>
        </w:tc>
        <w:tc>
          <w:tcPr/>
          <w:p>
            <w:pPr>
              <w:pStyle w:val="Compact"/>
              <w:jc w:val="left"/>
            </w:pPr>
            <w:r>
              <w:rPr>
                <w:bCs/>
                <w:b/>
              </w:rPr>
              <w:t xml:space="preserve">Yes</w:t>
            </w:r>
            <w:r>
              <w:t xml:space="preserve"> </w:t>
            </w:r>
            <w:r>
              <w:t xml:space="preserve">(canonical)</w:t>
            </w:r>
          </w:p>
        </w:tc>
        <w:tc>
          <w:tcPr/>
          <w:p>
            <w:pPr>
              <w:pStyle w:val="Compact"/>
              <w:jc w:val="left"/>
            </w:pPr>
            <w:r>
              <w:t xml:space="preserve">ACCEPT</w:t>
            </w:r>
          </w:p>
        </w:tc>
        <w:tc>
          <w:tcPr/>
          <w:p>
            <w:pPr>
              <w:pStyle w:val="Compact"/>
              <w:jc w:val="left"/>
            </w:pPr>
            <w:r>
              <w:t xml:space="preserve">REJECT</w:t>
            </w:r>
          </w:p>
        </w:tc>
        <w:tc>
          <w:tcPr/>
          <w:p>
            <w:pPr>
              <w:pStyle w:val="Compact"/>
              <w:jc w:val="left"/>
            </w:pPr>
            <w:r>
              <w:t xml:space="preserve">✗</w:t>
            </w:r>
          </w:p>
        </w:tc>
      </w:tr>
      <w:tr>
        <w:tc>
          <w:tcPr/>
          <w:p>
            <w:pPr>
              <w:pStyle w:val="Compact"/>
              <w:jc w:val="left"/>
            </w:pPr>
            <w:r>
              <w:t xml:space="preserve">P05</w:t>
            </w:r>
          </w:p>
        </w:tc>
        <w:tc>
          <w:tcPr/>
          <w:p>
            <w:pPr>
              <w:pStyle w:val="Compact"/>
              <w:jc w:val="left"/>
            </w:pPr>
            <w:r>
              <w:rPr>
                <w:rStyle w:val="VerbatimChar"/>
              </w:rPr>
              <w:t xml:space="preserve">modify_permissions</w:t>
            </w:r>
          </w:p>
        </w:tc>
        <w:tc>
          <w:tcPr/>
          <w:p>
            <w:pPr>
              <w:pStyle w:val="Compact"/>
              <w:jc w:val="left"/>
            </w:pPr>
            <w:r>
              <w:rPr>
                <w:rStyle w:val="VerbatimChar"/>
              </w:rPr>
              <w:t xml:space="preserve">modify_permissions</w:t>
            </w:r>
          </w:p>
        </w:tc>
        <w:tc>
          <w:tcPr/>
          <w:p>
            <w:pPr>
              <w:pStyle w:val="Compact"/>
              <w:jc w:val="left"/>
            </w:pPr>
            <w:r>
              <w:t xml:space="preserve">No</w:t>
            </w:r>
          </w:p>
        </w:tc>
        <w:tc>
          <w:tcPr/>
          <w:p>
            <w:pPr>
              <w:pStyle w:val="Compact"/>
              <w:jc w:val="left"/>
            </w:pPr>
            <w:r>
              <w:t xml:space="preserve">REJECT</w:t>
            </w:r>
          </w:p>
        </w:tc>
        <w:tc>
          <w:tcPr/>
          <w:p>
            <w:pPr>
              <w:pStyle w:val="Compact"/>
              <w:jc w:val="left"/>
            </w:pPr>
            <w:r>
              <w:t xml:space="preserve">REJECT</w:t>
            </w:r>
          </w:p>
        </w:tc>
        <w:tc>
          <w:tcPr/>
          <w:p>
            <w:pPr>
              <w:pStyle w:val="Compact"/>
              <w:jc w:val="left"/>
            </w:pPr>
            <w:r>
              <w:t xml:space="preserve">✓</w:t>
            </w:r>
          </w:p>
        </w:tc>
      </w:tr>
      <w:tr>
        <w:tc>
          <w:tcPr/>
          <w:p>
            <w:pPr>
              <w:pStyle w:val="Compact"/>
              <w:jc w:val="left"/>
            </w:pPr>
            <w:r>
              <w:t xml:space="preserve">P06</w:t>
            </w:r>
          </w:p>
        </w:tc>
        <w:tc>
          <w:tcPr/>
          <w:p>
            <w:pPr>
              <w:pStyle w:val="Compact"/>
              <w:jc w:val="left"/>
            </w:pPr>
            <w:r>
              <w:rPr>
                <w:rStyle w:val="VerbatimChar"/>
              </w:rPr>
              <w:t xml:space="preserve">admin_override</w:t>
            </w:r>
          </w:p>
        </w:tc>
        <w:tc>
          <w:tcPr/>
          <w:p>
            <w:pPr>
              <w:pStyle w:val="Compact"/>
              <w:jc w:val="left"/>
            </w:pPr>
            <w:r>
              <w:rPr>
                <w:rStyle w:val="VerbatimChar"/>
              </w:rPr>
              <w:t xml:space="preserve">admin_override</w:t>
            </w:r>
          </w:p>
        </w:tc>
        <w:tc>
          <w:tcPr/>
          <w:p>
            <w:pPr>
              <w:pStyle w:val="Compact"/>
              <w:jc w:val="left"/>
            </w:pPr>
            <w:r>
              <w:t xml:space="preserve">No</w:t>
            </w:r>
          </w:p>
        </w:tc>
        <w:tc>
          <w:tcPr/>
          <w:p>
            <w:pPr>
              <w:pStyle w:val="Compact"/>
              <w:jc w:val="left"/>
            </w:pPr>
            <w:r>
              <w:t xml:space="preserve">REJECT</w:t>
            </w:r>
          </w:p>
        </w:tc>
        <w:tc>
          <w:tcPr/>
          <w:p>
            <w:pPr>
              <w:pStyle w:val="Compact"/>
              <w:jc w:val="left"/>
            </w:pPr>
            <w:r>
              <w:t xml:space="preserve">REJECT</w:t>
            </w:r>
          </w:p>
        </w:tc>
        <w:tc>
          <w:tcPr/>
          <w:p>
            <w:pPr>
              <w:pStyle w:val="Compact"/>
              <w:jc w:val="left"/>
            </w:pPr>
            <w:r>
              <w:t xml:space="preserve">✓</w:t>
            </w:r>
          </w:p>
        </w:tc>
      </w:tr>
    </w:tbl>
    <w:p>
      <w:r>
        <w:pict>
          <v:rect style="width:0;height:1.5pt" o:hralign="center" o:hrstd="t" o:hr="t"/>
        </w:pict>
      </w:r>
    </w:p>
    <w:bookmarkEnd w:id="24"/>
    <w:bookmarkEnd w:id="25"/>
    <w:bookmarkStart w:id="30" w:name="diagnosis"/>
    <w:p>
      <w:pPr>
        <w:pStyle w:val="Heading2"/>
      </w:pPr>
      <w:r>
        <w:t xml:space="preserve">Diagnosis</w:t>
      </w:r>
    </w:p>
    <w:bookmarkStart w:id="26" w:name="X65d697bbfd1cc2de34abf160cc108aead9d8fd3"/>
    <w:p>
      <w:pPr>
        <w:pStyle w:val="Heading3"/>
      </w:pPr>
      <w:r>
        <w:t xml:space="preserve">What the normalization function actually did</w:t>
      </w:r>
    </w:p>
    <w:p>
      <w:pPr>
        <w:pStyle w:val="FirstParagraph"/>
      </w:pPr>
      <w:r>
        <w:t xml:space="preserve">For P01–P04, the normalization function did</w:t>
      </w:r>
      <w:r>
        <w:t xml:space="preserve"> </w:t>
      </w:r>
      <w:r>
        <w:rPr>
          <w:bCs/>
          <w:b/>
        </w:rPr>
        <w:t xml:space="preserve">nothing</w:t>
      </w:r>
      <w:r>
        <w:t xml:space="preserve">. These strings are not in the synonym map. They passed through untouched and were found in</w:t>
      </w:r>
      <w:r>
        <w:t xml:space="preserve"> </w:t>
      </w:r>
      <w:r>
        <w:rPr>
          <w:rStyle w:val="VerbatimChar"/>
        </w:rPr>
        <w:t xml:space="preserve">ALLOWED_ACTION_TYPES</w:t>
      </w:r>
      <w:r>
        <w:t xml:space="preserve"> </w:t>
      </w:r>
      <w:r>
        <w:t xml:space="preserve">because they are</w:t>
      </w:r>
      <w:r>
        <w:t xml:space="preserve"> </w:t>
      </w:r>
      <w:r>
        <w:rPr>
          <w:bCs/>
          <w:b/>
        </w:rPr>
        <w:t xml:space="preserve">already canonical authorized actions</w:t>
      </w:r>
      <w:r>
        <w:t xml:space="preserve"> </w:t>
      </w:r>
      <w:r>
        <w:t xml:space="preserve">in the IB-001 authority grant.</w:t>
      </w:r>
    </w:p>
    <w:p>
      <w:pPr>
        <w:pStyle w:val="BodyText"/>
      </w:pPr>
      <w:r>
        <w:t xml:space="preserve">The privilege expansion audit confirms:</w:t>
      </w:r>
      <w:r>
        <w:t xml:space="preserve"> </w:t>
      </w:r>
      <w:r>
        <w:rPr>
          <w:bCs/>
          <w:b/>
        </w:rPr>
        <w:t xml:space="preserve">zero privilege expansions detected across all 18 cases</w:t>
      </w:r>
      <w:r>
        <w:t xml:space="preserve">. No normalization step ever mapped a lower-privilege string to a higher-privilege canonical action.</w:t>
      </w:r>
    </w:p>
    <w:bookmarkEnd w:id="26"/>
    <w:bookmarkStart w:id="27" w:name="why-p01p04-failed"/>
    <w:p>
      <w:pPr>
        <w:pStyle w:val="Heading3"/>
      </w:pPr>
      <w:r>
        <w:t xml:space="preserve">Why P01–P04 failed</w:t>
      </w:r>
    </w:p>
    <w:p>
      <w:pPr>
        <w:pStyle w:val="FirstParagraph"/>
      </w:pPr>
      <w:r>
        <w:t xml:space="preserve">The preregistration framed P01–P04 as</w:t>
      </w:r>
      <w:r>
        <w:t xml:space="preserve"> </w:t>
      </w:r>
      <w:r>
        <w:t xml:space="preserve">“</w:t>
      </w:r>
      <w:r>
        <w:t xml:space="preserve">submitted as synonym claim for [lower-privilege action].</w:t>
      </w:r>
      <w:r>
        <w:t xml:space="preserve">”</w:t>
      </w:r>
      <w:r>
        <w:t xml:space="preserve"> </w:t>
      </w:r>
      <w:r>
        <w:t xml:space="preserve">But the test mechanism runs the proposed string through</w:t>
      </w:r>
      <w:r>
        <w:t xml:space="preserve"> </w:t>
      </w:r>
      <w:r>
        <w:rPr>
          <w:rStyle w:val="VerbatimChar"/>
        </w:rPr>
        <w:t xml:space="preserve">normalize_authority_action_type()</w:t>
      </w:r>
      <w:r>
        <w:t xml:space="preserve"> </w:t>
      </w:r>
      <w:r>
        <w:t xml:space="preserve">→ check against</w:t>
      </w:r>
      <w:r>
        <w:t xml:space="preserve"> </w:t>
      </w:r>
      <w:r>
        <w:rPr>
          <w:rStyle w:val="VerbatimChar"/>
        </w:rPr>
        <w:t xml:space="preserve">ALLOWED_ACTION_TYPES</w:t>
      </w:r>
      <w:r>
        <w:t xml:space="preserve">. It does</w:t>
      </w:r>
      <w:r>
        <w:t xml:space="preserve"> </w:t>
      </w:r>
      <w:r>
        <w:rPr>
          <w:bCs/>
          <w:b/>
        </w:rPr>
        <w:t xml:space="preserve">not</w:t>
      </w:r>
      <w:r>
        <w:t xml:space="preserve"> </w:t>
      </w:r>
      <w:r>
        <w:t xml:space="preserve">test whether an attacker could</w:t>
      </w:r>
      <w:r>
        <w:t xml:space="preserve"> </w:t>
      </w:r>
      <w:r>
        <w:rPr>
          <w:iCs/>
          <w:i/>
        </w:rPr>
        <w:t xml:space="preserve">inject</w:t>
      </w:r>
      <w:r>
        <w:t xml:space="preserve"> </w:t>
      </w:r>
      <w:r>
        <w:t xml:space="preserve">a false synonym mapping. It tests whether the string, as-is, is authorized.</w:t>
      </w:r>
    </w:p>
    <w:p>
      <w:pPr>
        <w:pStyle w:val="BodyText"/>
      </w:pPr>
      <w:r>
        <w:t xml:space="preserve">P01–P04 (</w:t>
      </w:r>
      <w:r>
        <w:rPr>
          <w:rStyle w:val="VerbatimChar"/>
        </w:rPr>
        <w:t xml:space="preserve">execute_tool</w:t>
      </w:r>
      <w:r>
        <w:t xml:space="preserve">,</w:t>
      </w:r>
      <w:r>
        <w:t xml:space="preserve"> </w:t>
      </w:r>
      <w:r>
        <w:rPr>
          <w:rStyle w:val="VerbatimChar"/>
        </w:rPr>
        <w:t xml:space="preserve">delete_record</w:t>
      </w:r>
      <w:r>
        <w:t xml:space="preserve">,</w:t>
      </w:r>
      <w:r>
        <w:t xml:space="preserve"> </w:t>
      </w:r>
      <w:r>
        <w:rPr>
          <w:rStyle w:val="VerbatimChar"/>
        </w:rPr>
        <w:t xml:space="preserve">transmit_external</w:t>
      </w:r>
      <w:r>
        <w:t xml:space="preserve">,</w:t>
      </w:r>
      <w:r>
        <w:t xml:space="preserve"> </w:t>
      </w:r>
      <w:r>
        <w:rPr>
          <w:rStyle w:val="VerbatimChar"/>
        </w:rPr>
        <w:t xml:space="preserve">batch_execute</w:t>
      </w:r>
      <w:r>
        <w:t xml:space="preserve">) are authorized — not because normalization expanded them, but because the original IB-001 authority grant includes them as distinct canonical permissions.</w:t>
      </w:r>
    </w:p>
    <w:bookmarkEnd w:id="27"/>
    <w:bookmarkStart w:id="28" w:name="why-p05p06-passed"/>
    <w:p>
      <w:pPr>
        <w:pStyle w:val="Heading3"/>
      </w:pPr>
      <w:r>
        <w:t xml:space="preserve">Why P05–P06 passed</w:t>
      </w:r>
    </w:p>
    <w:p>
      <w:pPr>
        <w:pStyle w:val="FirstParagraph"/>
      </w:pPr>
      <w:r>
        <w:t xml:space="preserve">P05 (</w:t>
      </w:r>
      <w:r>
        <w:rPr>
          <w:rStyle w:val="VerbatimChar"/>
        </w:rPr>
        <w:t xml:space="preserve">modify_permissions</w:t>
      </w:r>
      <w:r>
        <w:t xml:space="preserve">) and P06 (</w:t>
      </w:r>
      <w:r>
        <w:rPr>
          <w:rStyle w:val="VerbatimChar"/>
        </w:rPr>
        <w:t xml:space="preserve">admin_override</w:t>
      </w:r>
      <w:r>
        <w:t xml:space="preserve">) are not in the synonym map and not in</w:t>
      </w:r>
      <w:r>
        <w:t xml:space="preserve"> </w:t>
      </w:r>
      <w:r>
        <w:rPr>
          <w:rStyle w:val="VerbatimChar"/>
        </w:rPr>
        <w:t xml:space="preserve">ALLOWED_ACTION_TYPES</w:t>
      </w:r>
      <w:r>
        <w:t xml:space="preserve">. They correctly reject.</w:t>
      </w:r>
    </w:p>
    <w:bookmarkEnd w:id="28"/>
    <w:bookmarkStart w:id="29" w:name="the-actual-finding"/>
    <w:p>
      <w:pPr>
        <w:pStyle w:val="Heading3"/>
      </w:pPr>
      <w:r>
        <w:t xml:space="preserve">The actual finding</w:t>
      </w:r>
    </w:p>
    <w:p>
      <w:pPr>
        <w:pStyle w:val="FirstParagraph"/>
      </w:pPr>
      <w:r>
        <w:t xml:space="preserve">The Class 3 test design conflated two distinct security questions:</w:t>
      </w:r>
    </w:p>
    <w:p>
      <w:pPr>
        <w:numPr>
          <w:ilvl w:val="0"/>
          <w:numId w:val="1001"/>
        </w:numPr>
      </w:pPr>
      <w:r>
        <w:rPr>
          <w:bCs/>
          <w:b/>
        </w:rPr>
        <w:t xml:space="preserve">Can the normalization function map a lower-privilege string to a higher-privilege canonical?</w:t>
      </w:r>
      <w:r>
        <w:t xml:space="preserve"> </w:t>
      </w:r>
      <w:r>
        <w:t xml:space="preserve">— This is what we intended to test. Answer:</w:t>
      </w:r>
      <w:r>
        <w:t xml:space="preserve"> </w:t>
      </w:r>
      <w:r>
        <w:rPr>
          <w:bCs/>
          <w:b/>
        </w:rPr>
        <w:t xml:space="preserve">No.</w:t>
      </w:r>
      <w:r>
        <w:t xml:space="preserve"> </w:t>
      </w:r>
      <w:r>
        <w:t xml:space="preserve">The function never does this. Zero privilege expansions.</w:t>
      </w:r>
    </w:p>
    <w:p>
      <w:pPr>
        <w:numPr>
          <w:ilvl w:val="0"/>
          <w:numId w:val="1001"/>
        </w:numPr>
      </w:pPr>
      <w:r>
        <w:rPr>
          <w:bCs/>
          <w:b/>
        </w:rPr>
        <w:t xml:space="preserve">Are high-privilege action types already authorized alongside low-privilege ones in the authority grant?</w:t>
      </w:r>
      <w:r>
        <w:t xml:space="preserve"> </w:t>
      </w:r>
      <w:r>
        <w:t xml:space="preserve">— This is what P01–P04 actually tested. Answer:</w:t>
      </w:r>
      <w:r>
        <w:t xml:space="preserve"> </w:t>
      </w:r>
      <w:r>
        <w:rPr>
          <w:bCs/>
          <w:b/>
        </w:rPr>
        <w:t xml:space="preserve">Yes.</w:t>
      </w:r>
      <w:r>
        <w:t xml:space="preserve"> </w:t>
      </w:r>
      <w:r>
        <w:t xml:space="preserve">The IB-001 authority grant is a flat list that includes both</w:t>
      </w:r>
      <w:r>
        <w:t xml:space="preserve"> </w:t>
      </w:r>
      <w:r>
        <w:rPr>
          <w:rStyle w:val="VerbatimChar"/>
        </w:rPr>
        <w:t xml:space="preserve">read_file</w:t>
      </w:r>
      <w:r>
        <w:t xml:space="preserve"> </w:t>
      </w:r>
      <w:r>
        <w:t xml:space="preserve">and</w:t>
      </w:r>
      <w:r>
        <w:t xml:space="preserve"> </w:t>
      </w:r>
      <w:r>
        <w:rPr>
          <w:rStyle w:val="VerbatimChar"/>
        </w:rPr>
        <w:t xml:space="preserve">execute_tool</w:t>
      </w:r>
      <w:r>
        <w:t xml:space="preserve">, both</w:t>
      </w:r>
      <w:r>
        <w:t xml:space="preserve"> </w:t>
      </w:r>
      <w:r>
        <w:rPr>
          <w:rStyle w:val="VerbatimChar"/>
        </w:rPr>
        <w:t xml:space="preserve">send_email</w:t>
      </w:r>
      <w:r>
        <w:t xml:space="preserve"> </w:t>
      </w:r>
      <w:r>
        <w:t xml:space="preserve">and</w:t>
      </w:r>
      <w:r>
        <w:t xml:space="preserve"> </w:t>
      </w:r>
      <w:r>
        <w:rPr>
          <w:rStyle w:val="VerbatimChar"/>
        </w:rPr>
        <w:t xml:space="preserve">transmit_external</w:t>
      </w:r>
      <w:r>
        <w:t xml:space="preserve">.</w:t>
      </w:r>
    </w:p>
    <w:p>
      <w:pPr>
        <w:pStyle w:val="FirstParagraph"/>
      </w:pPr>
      <w:r>
        <w:t xml:space="preserve">The first question is about normalization safety. The second is about authority-grant granularity — a separate concern that belongs to the authority design layer, not the normalization function.</w:t>
      </w:r>
    </w:p>
    <w:p>
      <w:r>
        <w:pict>
          <v:rect style="width:0;height:1.5pt" o:hralign="center" o:hrstd="t" o:hr="t"/>
        </w:pict>
      </w:r>
    </w:p>
    <w:bookmarkEnd w:id="29"/>
    <w:bookmarkEnd w:id="30"/>
    <w:bookmarkStart w:id="31" w:name="kill-condition-evaluation"/>
    <w:p>
      <w:pPr>
        <w:pStyle w:val="Heading2"/>
      </w:pPr>
      <w:r>
        <w:t xml:space="preserve">Kill Condition Evaluation</w:t>
      </w:r>
    </w:p>
    <w:tbl>
      <w:tblPr>
        <w:tblStyle w:val="Table"/>
        <w:tblW w:type="pct" w:w="5000"/>
        <w:tblLook w:firstRow="1" w:lastRow="0" w:firstColumn="0" w:lastColumn="0" w:noHBand="0" w:noVBand="0" w:val="0020"/>
      </w:tblPr>
      <w:tblGrid>
        <w:gridCol w:w="3832"/>
        <w:gridCol w:w="2043"/>
        <w:gridCol w:w="2043"/>
      </w:tblGrid>
      <w:tr>
        <w:trPr>
          <w:tblHeader w:val="true"/>
        </w:trPr>
        <w:tc>
          <w:tcPr/>
          <w:p>
            <w:pPr>
              <w:pStyle w:val="Compact"/>
              <w:jc w:val="left"/>
            </w:pPr>
            <w:r>
              <w:t xml:space="preserve">Kill Condition</w:t>
            </w:r>
          </w:p>
        </w:tc>
        <w:tc>
          <w:tcPr/>
          <w:p>
            <w:pPr>
              <w:pStyle w:val="Compact"/>
              <w:jc w:val="left"/>
            </w:pPr>
            <w:r>
              <w:t xml:space="preserve">Status</w:t>
            </w:r>
          </w:p>
        </w:tc>
        <w:tc>
          <w:tcPr/>
          <w:p>
            <w:pPr>
              <w:pStyle w:val="Compact"/>
              <w:jc w:val="left"/>
            </w:pPr>
            <w:r>
              <w:t xml:space="preserve">Detail</w:t>
            </w:r>
          </w:p>
        </w:tc>
      </w:tr>
      <w:tr>
        <w:tc>
          <w:tcPr/>
          <w:p>
            <w:pPr>
              <w:pStyle w:val="Compact"/>
              <w:jc w:val="left"/>
            </w:pPr>
            <w:r>
              <w:t xml:space="preserve">K1 — Any legitimate alias rejected</w:t>
            </w:r>
          </w:p>
        </w:tc>
        <w:tc>
          <w:tcPr/>
          <w:p>
            <w:pPr>
              <w:pStyle w:val="Compact"/>
              <w:jc w:val="left"/>
            </w:pPr>
            <w:r>
              <w:t xml:space="preserve">✓ Clear</w:t>
            </w:r>
          </w:p>
        </w:tc>
        <w:tc>
          <w:tcPr/>
          <w:p>
            <w:pPr>
              <w:pStyle w:val="Compact"/>
              <w:jc w:val="left"/>
            </w:pPr>
            <w:r>
              <w:t xml:space="preserve">0/6 aliases rejected</w:t>
            </w:r>
          </w:p>
        </w:tc>
      </w:tr>
      <w:tr>
        <w:tc>
          <w:tcPr/>
          <w:p>
            <w:pPr>
              <w:pStyle w:val="Compact"/>
              <w:jc w:val="left"/>
            </w:pPr>
            <w:r>
              <w:t xml:space="preserve">K2 — Any near-neighbor accepted</w:t>
            </w:r>
          </w:p>
        </w:tc>
        <w:tc>
          <w:tcPr/>
          <w:p>
            <w:pPr>
              <w:pStyle w:val="Compact"/>
              <w:jc w:val="left"/>
            </w:pPr>
            <w:r>
              <w:t xml:space="preserve">✓ Clear</w:t>
            </w:r>
          </w:p>
        </w:tc>
        <w:tc>
          <w:tcPr/>
          <w:p>
            <w:pPr>
              <w:pStyle w:val="Compact"/>
              <w:jc w:val="left"/>
            </w:pPr>
            <w:r>
              <w:t xml:space="preserve">0/6 near-neighbors accepted</w:t>
            </w:r>
          </w:p>
        </w:tc>
      </w:tr>
      <w:tr>
        <w:tc>
          <w:tcPr/>
          <w:p>
            <w:pPr>
              <w:pStyle w:val="Compact"/>
              <w:jc w:val="left"/>
            </w:pPr>
            <w:r>
              <w:t xml:space="preserve">K3 — Any privilege escalation accepted</w:t>
            </w:r>
          </w:p>
        </w:tc>
        <w:tc>
          <w:tcPr/>
          <w:p>
            <w:pPr>
              <w:pStyle w:val="Compact"/>
              <w:jc w:val="left"/>
            </w:pPr>
            <w:r>
              <w:t xml:space="preserve">⚠</w:t>
            </w:r>
            <w:r>
              <w:t xml:space="preserve"> </w:t>
            </w:r>
            <w:r>
              <w:rPr>
                <w:bCs/>
                <w:b/>
              </w:rPr>
              <w:t xml:space="preserve">TRIGGERED</w:t>
            </w:r>
          </w:p>
        </w:tc>
        <w:tc>
          <w:tcPr/>
          <w:p>
            <w:pPr>
              <w:pStyle w:val="Compact"/>
              <w:jc w:val="left"/>
            </w:pPr>
            <w:r>
              <w:t xml:space="preserve">4/6 escalation cases accepted</w:t>
            </w:r>
          </w:p>
        </w:tc>
      </w:tr>
      <w:tr>
        <w:tc>
          <w:tcPr/>
          <w:p>
            <w:pPr>
              <w:pStyle w:val="Compact"/>
              <w:jc w:val="left"/>
            </w:pPr>
            <w:r>
              <w:t xml:space="preserve">K4 — Post-hoc tailoring</w:t>
            </w:r>
          </w:p>
        </w:tc>
        <w:tc>
          <w:tcPr/>
          <w:p>
            <w:pPr>
              <w:pStyle w:val="Compact"/>
              <w:jc w:val="left"/>
            </w:pPr>
            <w:r>
              <w:t xml:space="preserve">✓ Clear</w:t>
            </w:r>
          </w:p>
        </w:tc>
        <w:tc>
          <w:tcPr/>
          <w:p>
            <w:pPr>
              <w:pStyle w:val="Compact"/>
              <w:jc w:val="left"/>
            </w:pPr>
            <w:r>
              <w:t xml:space="preserve">Synonym map declared before execution</w:t>
            </w:r>
          </w:p>
        </w:tc>
      </w:tr>
      <w:tr>
        <w:tc>
          <w:tcPr/>
          <w:p>
            <w:pPr>
              <w:pStyle w:val="Compact"/>
              <w:jc w:val="left"/>
            </w:pPr>
            <w:r>
              <w:t xml:space="preserve">K5 — Not reproducible</w:t>
            </w:r>
          </w:p>
        </w:tc>
        <w:tc>
          <w:tcPr/>
          <w:p>
            <w:pPr>
              <w:pStyle w:val="Compact"/>
              <w:jc w:val="left"/>
            </w:pPr>
            <w:r>
              <w:t xml:space="preserve">✓ Clear</w:t>
            </w:r>
          </w:p>
        </w:tc>
        <w:tc>
          <w:tcPr/>
          <w:p>
            <w:pPr>
              <w:pStyle w:val="Compact"/>
              <w:jc w:val="left"/>
            </w:pPr>
            <w:r>
              <w:t xml:space="preserve">Deterministic code</w:t>
            </w:r>
          </w:p>
        </w:tc>
      </w:tr>
    </w:tbl>
    <w:p>
      <w:r>
        <w:pict>
          <v:rect style="width:0;height:1.5pt" o:hralign="center" o:hrstd="t" o:hr="t"/>
        </w:pict>
      </w:r>
    </w:p>
    <w:bookmarkEnd w:id="31"/>
    <w:bookmarkStart w:id="32" w:name="scientific-value"/>
    <w:p>
      <w:pPr>
        <w:pStyle w:val="Heading2"/>
      </w:pPr>
      <w:r>
        <w:t xml:space="preserve">Scientific Value</w:t>
      </w:r>
    </w:p>
    <w:p>
      <w:pPr>
        <w:numPr>
          <w:ilvl w:val="0"/>
          <w:numId w:val="1002"/>
        </w:numPr>
      </w:pPr>
      <w:r>
        <w:rPr>
          <w:bCs/>
          <w:b/>
        </w:rPr>
        <w:t xml:space="preserve">The normalization function itself is safe.</w:t>
      </w:r>
      <w:r>
        <w:t xml:space="preserve"> </w:t>
      </w:r>
      <w:r>
        <w:t xml:space="preserve">It uses a closed, explicitly declared synonym map. Unknown strings pass through unchanged. No privilege expansion occurs.</w:t>
      </w:r>
    </w:p>
    <w:p>
      <w:pPr>
        <w:numPr>
          <w:ilvl w:val="0"/>
          <w:numId w:val="1002"/>
        </w:numPr>
      </w:pPr>
      <w:r>
        <w:rPr>
          <w:bCs/>
          <w:b/>
        </w:rPr>
        <w:t xml:space="preserve">The normalization resolves the IB-001 defect.</w:t>
      </w:r>
      <w:r>
        <w:t xml:space="preserve"> </w:t>
      </w:r>
      <w:r>
        <w:rPr>
          <w:rStyle w:val="VerbatimChar"/>
        </w:rPr>
        <w:t xml:space="preserve">dispatch_email</w:t>
      </w:r>
      <w:r>
        <w:t xml:space="preserve"> </w:t>
      </w:r>
      <w:r>
        <w:t xml:space="preserve">→</w:t>
      </w:r>
      <w:r>
        <w:t xml:space="preserve"> </w:t>
      </w:r>
      <w:r>
        <w:rPr>
          <w:rStyle w:val="VerbatimChar"/>
        </w:rPr>
        <w:t xml:space="preserve">send_email</w:t>
      </w:r>
      <w:r>
        <w:t xml:space="preserve"> </w:t>
      </w:r>
      <w:r>
        <w:t xml:space="preserve">and</w:t>
      </w:r>
      <w:r>
        <w:t xml:space="preserve"> </w:t>
      </w:r>
      <w:r>
        <w:rPr>
          <w:rStyle w:val="VerbatimChar"/>
        </w:rPr>
        <w:t xml:space="preserve">view_file</w:t>
      </w:r>
      <w:r>
        <w:t xml:space="preserve"> </w:t>
      </w:r>
      <w:r>
        <w:t xml:space="preserve">→</w:t>
      </w:r>
      <w:r>
        <w:t xml:space="preserve"> </w:t>
      </w:r>
      <w:r>
        <w:rPr>
          <w:rStyle w:val="VerbatimChar"/>
        </w:rPr>
        <w:t xml:space="preserve">read_file</w:t>
      </w:r>
      <w:r>
        <w:t xml:space="preserve"> </w:t>
      </w:r>
      <w:r>
        <w:t xml:space="preserve">both normalize correctly and pass the authority check. The two IB-001 false blocks (C02, C03) would be resolved by this change.</w:t>
      </w:r>
    </w:p>
    <w:p>
      <w:pPr>
        <w:numPr>
          <w:ilvl w:val="0"/>
          <w:numId w:val="1002"/>
        </w:numPr>
      </w:pPr>
      <w:r>
        <w:rPr>
          <w:bCs/>
          <w:b/>
        </w:rPr>
        <w:t xml:space="preserve">Near-neighbor attacks are fully rejected.</w:t>
      </w:r>
      <w:r>
        <w:t xml:space="preserve"> </w:t>
      </w:r>
      <w:r>
        <w:t xml:space="preserve">The deterministic map does not introduce fuzzy matching. Superficially similar but materially different actions do not slip through.</w:t>
      </w:r>
    </w:p>
    <w:p>
      <w:pPr>
        <w:numPr>
          <w:ilvl w:val="0"/>
          <w:numId w:val="1002"/>
        </w:numPr>
      </w:pPr>
      <w:r>
        <w:rPr>
          <w:bCs/>
          <w:b/>
        </w:rPr>
        <w:t xml:space="preserve">The authority grant design needs separate scrutiny.</w:t>
      </w:r>
      <w:r>
        <w:t xml:space="preserve"> </w:t>
      </w:r>
      <w:r>
        <w:t xml:space="preserve">The IB-001 authority grant gives</w:t>
      </w:r>
      <w:r>
        <w:t xml:space="preserve"> </w:t>
      </w:r>
      <w:r>
        <w:rPr>
          <w:rStyle w:val="VerbatimChar"/>
        </w:rPr>
        <w:t xml:space="preserve">ops-agent</w:t>
      </w:r>
      <w:r>
        <w:t xml:space="preserve"> </w:t>
      </w:r>
      <w:r>
        <w:t xml:space="preserve">a broad flat set of permissions including high-privilege actions (</w:t>
      </w:r>
      <w:r>
        <w:rPr>
          <w:rStyle w:val="VerbatimChar"/>
        </w:rPr>
        <w:t xml:space="preserve">execute_tool</w:t>
      </w:r>
      <w:r>
        <w:t xml:space="preserve">,</w:t>
      </w:r>
      <w:r>
        <w:t xml:space="preserve"> </w:t>
      </w:r>
      <w:r>
        <w:rPr>
          <w:rStyle w:val="VerbatimChar"/>
        </w:rPr>
        <w:t xml:space="preserve">batch_execute</w:t>
      </w:r>
      <w:r>
        <w:t xml:space="preserve">,</w:t>
      </w:r>
      <w:r>
        <w:t xml:space="preserve"> </w:t>
      </w:r>
      <w:r>
        <w:rPr>
          <w:rStyle w:val="VerbatimChar"/>
        </w:rPr>
        <w:t xml:space="preserve">transmit_external</w:t>
      </w:r>
      <w:r>
        <w:t xml:space="preserve">,</w:t>
      </w:r>
      <w:r>
        <w:t xml:space="preserve"> </w:t>
      </w:r>
      <w:r>
        <w:rPr>
          <w:rStyle w:val="VerbatimChar"/>
        </w:rPr>
        <w:t xml:space="preserve">delete_record</w:t>
      </w:r>
      <w:r>
        <w:t xml:space="preserve">). Whether that breadth is appropriate is a policy question, not a normalization question. This is a legitimate next research direction.</w:t>
      </w:r>
    </w:p>
    <w:p>
      <w:pPr>
        <w:numPr>
          <w:ilvl w:val="0"/>
          <w:numId w:val="1002"/>
        </w:numPr>
      </w:pPr>
      <w:r>
        <w:rPr>
          <w:bCs/>
          <w:b/>
        </w:rPr>
        <w:t xml:space="preserve">The test design for Class 3 needs redesign.</w:t>
      </w:r>
      <w:r>
        <w:t xml:space="preserve"> </w:t>
      </w:r>
      <w:r>
        <w:t xml:space="preserve">A proper privilege-escalation test should involve action types that are NOT in the allowed list and test whether normalization could be tricked into mapping them to an authorized canonical. P05 and P06 are correct examples of this. P01–P04 test something different.</w:t>
      </w:r>
    </w:p>
    <w:p>
      <w:r>
        <w:pict>
          <v:rect style="width:0;height:1.5pt" o:hralign="center" o:hrstd="t" o:hr="t"/>
        </w:pict>
      </w:r>
    </w:p>
    <w:bookmarkEnd w:id="32"/>
    <w:bookmarkStart w:id="33" w:name="implications-for-ib-003"/>
    <w:p>
      <w:pPr>
        <w:pStyle w:val="Heading2"/>
      </w:pPr>
      <w:r>
        <w:t xml:space="preserve">Implications for IB-003</w:t>
      </w:r>
    </w:p>
    <w:p>
      <w:pPr>
        <w:pStyle w:val="FirstParagraph"/>
      </w:pPr>
      <w:r>
        <w:t xml:space="preserve">IB-002’s Class 1 (6/6) and Class 2 (6/6) results confirm that the normalization function safely resolves the IB-001 C02/C03 defect without introducing near-neighbor vulnerabilities.</w:t>
      </w:r>
    </w:p>
    <w:p>
      <w:pPr>
        <w:pStyle w:val="BodyText"/>
      </w:pPr>
      <w:r>
        <w:t xml:space="preserve">The Class 3 failure is a test-design issue, not a normalization-safety issue. The normalization function can be integrated into the IB-003 pipeline with confidence that it does not expand privileges.</w:t>
      </w:r>
    </w:p>
    <w:p>
      <w:pPr>
        <w:pStyle w:val="BodyText"/>
      </w:pPr>
      <w:r>
        <w:t xml:space="preserve">However: IB-003 should be designed with awareness that the authority grant itself may be overly broad. If IB-003 reruns IB-001’s 12 cases through the remediated pipeline, it will test whether the C02/C03 false blocks are resolved. It does not need to re-test privilege escalation (that is a different experiment about authority-grant design).</w:t>
      </w:r>
    </w:p>
    <w:p>
      <w:r>
        <w:pict>
          <v:rect style="width:0;height:1.5pt" o:hralign="center" o:hrstd="t" o:hr="t"/>
        </w:pict>
      </w:r>
    </w:p>
    <w:bookmarkEnd w:id="33"/>
    <w:bookmarkStart w:id="34" w:name="preserved-ib-001-summary-sentence"/>
    <w:p>
      <w:pPr>
        <w:pStyle w:val="Heading2"/>
      </w:pPr>
      <w:r>
        <w:t xml:space="preserve">Preserved IB-001 Summary Sentence</w:t>
      </w:r>
    </w:p>
    <w:p>
      <w:pPr>
        <w:pStyle w:val="BlockText"/>
      </w:pPr>
      <w:r>
        <w:t xml:space="preserve">“</w:t>
      </w:r>
      <w:r>
        <w:t xml:space="preserve">IB-001 failed at the pipeline level while isolating a distinct upstream authority-normalization defect; the IntentMatch primitive correctly classified all 12 preregistered cases in this test set.</w:t>
      </w:r>
      <w:r>
        <w:t xml:space="preserve">”</w:t>
      </w:r>
    </w:p>
    <w:bookmarkEnd w:id="34"/>
    <w:bookmarkStart w:id="35" w:name="ib-002-summary-sentence"/>
    <w:p>
      <w:pPr>
        <w:pStyle w:val="Heading2"/>
      </w:pPr>
      <w:r>
        <w:t xml:space="preserve">IB-002 Summary Sentence</w:t>
      </w:r>
    </w:p>
    <w:p>
      <w:pPr>
        <w:pStyle w:val="BlockText"/>
      </w:pPr>
      <w:r>
        <w:t xml:space="preserve">“</w:t>
      </w:r>
      <w:r>
        <w:t xml:space="preserve">IB-002 failed at the experiment level (K3 triggered) while demonstrating that the normalization function itself is safe (zero privilege expansions, 6/6 aliases resolved, 6/6 near-neighbors rejected); the failure isolated a test-design conflation between normalization safety and authority-grant breadth.</w:t>
      </w:r>
      <w:r>
        <w:t xml:space="preserve">”</w:t>
      </w:r>
    </w:p>
    <w:p>
      <w:r>
        <w:pict>
          <v:rect style="width:0;height:1.5pt" o:hralign="center" o:hrstd="t" o:hr="t"/>
        </w:pict>
      </w:r>
    </w:p>
    <w:bookmarkEnd w:id="35"/>
    <w:bookmarkStart w:id="36" w:name="files"/>
    <w:p>
      <w:pPr>
        <w:pStyle w:val="Heading2"/>
      </w:pPr>
      <w:r>
        <w:t xml:space="preserve">Files</w:t>
      </w:r>
    </w:p>
    <w:tbl>
      <w:tblPr>
        <w:tblStyle w:val="Table"/>
        <w:tblW w:type="pct" w:w="5000"/>
        <w:tblLook w:firstRow="1" w:lastRow="0" w:firstColumn="0" w:lastColumn="0" w:noHBand="0" w:noVBand="0" w:val="0020"/>
      </w:tblPr>
      <w:tblGrid>
        <w:gridCol w:w="3168"/>
        <w:gridCol w:w="4752"/>
      </w:tblGrid>
      <w:tr>
        <w:trPr>
          <w:tblHeader w:val="true"/>
        </w:trPr>
        <w:tc>
          <w:tcPr/>
          <w:p>
            <w:pPr>
              <w:pStyle w:val="Compact"/>
              <w:jc w:val="left"/>
            </w:pPr>
            <w:r>
              <w:t xml:space="preserve">File</w:t>
            </w:r>
          </w:p>
        </w:tc>
        <w:tc>
          <w:tcPr/>
          <w:p>
            <w:pPr>
              <w:pStyle w:val="Compact"/>
              <w:jc w:val="left"/>
            </w:pPr>
            <w:r>
              <w:t xml:space="preserve">SHA-256</w:t>
            </w:r>
          </w:p>
        </w:tc>
      </w:tr>
      <w:tr>
        <w:tc>
          <w:tcPr/>
          <w:p>
            <w:pPr>
              <w:pStyle w:val="Compact"/>
              <w:jc w:val="left"/>
            </w:pPr>
            <w:r>
              <w:rPr>
                <w:rStyle w:val="VerbatimChar"/>
              </w:rPr>
              <w:t xml:space="preserve">PREREGISTRATION.md</w:t>
            </w:r>
          </w:p>
        </w:tc>
        <w:tc>
          <w:tcPr/>
          <w:p>
            <w:pPr>
              <w:pStyle w:val="Compact"/>
              <w:jc w:val="left"/>
            </w:pPr>
            <w:r>
              <w:rPr>
                <w:rStyle w:val="VerbatimChar"/>
              </w:rPr>
              <w:t xml:space="preserve">a12d0a21bb2f17d6c11b9761bb9d50b701a4e4d4f4d2bc3f0b615fb7c2064d08</w:t>
            </w:r>
          </w:p>
        </w:tc>
      </w:tr>
      <w:tr>
        <w:tc>
          <w:tcPr/>
          <w:p>
            <w:pPr>
              <w:pStyle w:val="Compact"/>
              <w:jc w:val="left"/>
            </w:pPr>
            <w:r>
              <w:rPr>
                <w:rStyle w:val="VerbatimChar"/>
              </w:rPr>
              <w:t xml:space="preserve">run_ib002.py</w:t>
            </w:r>
          </w:p>
        </w:tc>
        <w:tc>
          <w:tcPr/>
          <w:p>
            <w:pPr>
              <w:pStyle w:val="Compact"/>
              <w:jc w:val="left"/>
            </w:pPr>
            <w:r>
              <w:rPr>
                <w:rStyle w:val="VerbatimChar"/>
              </w:rPr>
              <w:t xml:space="preserve">f6bc6c32328c790d03484647e87449f3b456af56385d026fef64a43fa12397dd</w:t>
            </w:r>
          </w:p>
        </w:tc>
      </w:tr>
      <w:tr>
        <w:tc>
          <w:tcPr/>
          <w:p>
            <w:pPr>
              <w:pStyle w:val="Compact"/>
              <w:jc w:val="left"/>
            </w:pPr>
            <w:r>
              <w:rPr>
                <w:rStyle w:val="VerbatimChar"/>
              </w:rPr>
              <w:t xml:space="preserve">results/ib002_results.json</w:t>
            </w:r>
          </w:p>
        </w:tc>
        <w:tc>
          <w:tcPr/>
          <w:p>
            <w:pPr>
              <w:pStyle w:val="Compact"/>
              <w:jc w:val="left"/>
            </w:pPr>
            <w:r>
              <w:rPr>
                <w:rStyle w:val="VerbatimChar"/>
              </w:rPr>
              <w:t xml:space="preserve">6ffb7e1fd56654f04a297e60ee76adfa254b3044c61ebc62a42acef88c29c816</w:t>
            </w:r>
          </w:p>
        </w:tc>
      </w:tr>
      <w:tr>
        <w:tc>
          <w:tcPr/>
          <w:p>
            <w:pPr>
              <w:pStyle w:val="Compact"/>
              <w:jc w:val="left"/>
            </w:pPr>
            <w:r>
              <w:rPr>
                <w:rStyle w:val="VerbatimChar"/>
              </w:rPr>
              <w:t xml:space="preserve">results/proofrecord_ib002.json</w:t>
            </w:r>
          </w:p>
        </w:tc>
        <w:tc>
          <w:tcPr/>
          <w:p>
            <w:pPr>
              <w:pStyle w:val="Compact"/>
              <w:jc w:val="left"/>
            </w:pPr>
            <w:r>
              <w:rPr>
                <w:rStyle w:val="VerbatimChar"/>
              </w:rPr>
              <w:t xml:space="preserve">23d56a565aad091ffbd544abd24519450e2cef5b7a96479dda2a88e395e44960</w:t>
            </w:r>
          </w:p>
        </w:tc>
      </w:tr>
      <w:tr>
        <w:tc>
          <w:tcPr/>
          <w:p>
            <w:pPr>
              <w:pStyle w:val="Compact"/>
              <w:jc w:val="left"/>
            </w:pPr>
            <w:r>
              <w:rPr>
                <w:rStyle w:val="VerbatimChar"/>
              </w:rPr>
              <w:t xml:space="preserve">results/ib002_ledger.jsonl</w:t>
            </w:r>
          </w:p>
        </w:tc>
        <w:tc>
          <w:tcPr/>
          <w:p>
            <w:pPr>
              <w:pStyle w:val="Compact"/>
              <w:jc w:val="left"/>
            </w:pPr>
            <w:r>
              <w:rPr>
                <w:rStyle w:val="VerbatimChar"/>
              </w:rPr>
              <w:t xml:space="preserve">1e141a084e5bdc465eaab1a3f8d194f10abfd73547c7d4d4d914da445feb8b5a</w:t>
            </w:r>
          </w:p>
        </w:tc>
      </w:tr>
    </w:tbl>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2026-08-16T02:58:26Z</dcterms:created>
  <dcterms:modified xsi:type="dcterms:W3CDTF">2026-08-16T02:58:26Z</dcterms:modified>
</cp:coreProperties>
</file>

<file path=docProps/custom.xml><?xml version="1.0" encoding="utf-8"?>
<Properties xmlns="http://schemas.openxmlformats.org/officeDocument/2006/custom-properties" xmlns:vt="http://schemas.openxmlformats.org/officeDocument/2006/docPropsVTypes"/>
</file>