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4c4c175d03ed8b9d134a495a97f0604a1d4e90"/>
    <w:p>
      <w:pPr>
        <w:pStyle w:val="Heading1"/>
      </w:pPr>
      <w:r>
        <w:t xml:space="preserve">Preregistration — Intent-Binding Pipeline Retest With Authority Normalization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IB-003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Intent Binding (IB)</w:t>
      </w:r>
      <w:r>
        <w:br/>
      </w:r>
      <w:r>
        <w:rPr>
          <w:bCs/>
          <w:b/>
        </w:rPr>
        <w:t xml:space="preserve">Parent experiments:</w:t>
      </w:r>
      <w:r>
        <w:t xml:space="preserve"> </w:t>
      </w:r>
      <w:r>
        <w:t xml:space="preserve">IB-001 (FAIL — K2), IB-002 (FAIL — K3)</w:t>
      </w:r>
      <w:r>
        <w:br/>
      </w:r>
      <w:r>
        <w:rPr>
          <w:bCs/>
          <w:b/>
        </w:rPr>
        <w:t xml:space="preserve">Principal 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Date locked:</w:t>
      </w:r>
      <w:r>
        <w:t xml:space="preserve"> </w:t>
      </w:r>
      <w:r>
        <w:t xml:space="preserve">2026-08-15</w:t>
      </w:r>
      <w:r>
        <w:br/>
      </w:r>
      <w:r>
        <w:rPr>
          <w:bCs/>
          <w:b/>
        </w:rPr>
        <w:t xml:space="preserve">Framework:</w:t>
      </w:r>
      <w:r>
        <w:t xml:space="preserve"> </w:t>
      </w:r>
      <w:r>
        <w:t xml:space="preserve">Coherent Inheritance Framework (CIF) / ExecutionProof</w:t>
      </w:r>
      <w:r>
        <w:br/>
      </w:r>
      <w:r>
        <w:rPr>
          <w:bCs/>
          <w:b/>
        </w:rPr>
        <w:t xml:space="preserve">Governing sentence:</w:t>
      </w:r>
      <w:r>
        <w:t xml:space="preserve"> </w:t>
      </w:r>
      <w:r>
        <w:t xml:space="preserve">“</w:t>
      </w:r>
      <w:r>
        <w:t xml:space="preserve">We will accept the result that is true, not the result we hoped to see.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lineage"/>
    <w:p>
      <w:pPr>
        <w:pStyle w:val="Heading2"/>
      </w:pPr>
      <w:r>
        <w:t xml:space="preserve">Lineage</w:t>
      </w:r>
    </w:p>
    <w:p>
      <w:pPr>
        <w:pStyle w:val="FirstParagraph"/>
      </w:pPr>
      <w:r>
        <w:rPr>
          <w:bCs/>
          <w:b/>
        </w:rPr>
        <w:t xml:space="preserve">IB-001</w:t>
      </w:r>
      <w:r>
        <w:t xml:space="preserve"> </w:t>
      </w:r>
      <w:r>
        <w:t xml:space="preserve">failed at the pipeline level (K2: ≥2 controls blocked). Root-cause diagnosis isolated the defect to the authority layer:</w:t>
      </w:r>
      <w:r>
        <w:t xml:space="preserve"> </w:t>
      </w:r>
      <w:r>
        <w:rPr>
          <w:rStyle w:val="VerbatimChar"/>
        </w:rPr>
        <w:t xml:space="preserve">check_authority()</w:t>
      </w:r>
      <w:r>
        <w:t xml:space="preserve"> </w:t>
      </w:r>
      <w:r>
        <w:t xml:space="preserve">performs exact string matching against</w:t>
      </w:r>
      <w:r>
        <w:t xml:space="preserve"> </w:t>
      </w:r>
      <w:r>
        <w:rPr>
          <w:rStyle w:val="VerbatimChar"/>
        </w:rPr>
        <w:t xml:space="preserve">allowed_action_types</w:t>
      </w:r>
      <w:r>
        <w:t xml:space="preserve">, but the allowed list contains only canonical action names, not declared synonyms. IntentMatch correctly classified all 12 cases in that test set. IB-001 is preserved as-is.</w:t>
      </w:r>
    </w:p>
    <w:p>
      <w:pPr>
        <w:pStyle w:val="BodyText"/>
      </w:pPr>
      <w:r>
        <w:rPr>
          <w:bCs/>
          <w:b/>
        </w:rPr>
        <w:t xml:space="preserve">IB-002</w:t>
      </w:r>
      <w:r>
        <w:t xml:space="preserve"> </w:t>
      </w:r>
      <w:r>
        <w:t xml:space="preserve">failed at the experiment level (K3: 4/6 privilege-escalation cases accepted). Diagnosis: the test design conflated normalization safety with authority-grant breadth. Within the 18 preregistered IB-002 cases, the normalization function produced zero observed privilege expansions, resolved all six legitimate aliases, and rejected all six near-neighbor attacks. IB-002 is preserved as-is.</w:t>
      </w:r>
    </w:p>
    <w:p>
      <w:pPr>
        <w:pStyle w:val="BodyText"/>
      </w:pPr>
      <w:r>
        <w:rPr>
          <w:bCs/>
          <w:b/>
        </w:rPr>
        <w:t xml:space="preserve">IB-003</w:t>
      </w:r>
      <w:r>
        <w:t xml:space="preserve"> </w:t>
      </w:r>
      <w:r>
        <w:t xml:space="preserve">reruns the original 12 IB-001 cases through the pipeline with only the preregistered authority-normalization remediation integrated. No other changes.</w:t>
      </w:r>
    </w:p>
    <w:bookmarkEnd w:id="20"/>
    <w:bookmarkStart w:id="21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Does applying deterministic canonical action normalization to the authority layer eliminate the two legitimate-control false blocks observed in IB-001 while preserving the eight semantic-drift detections produced by IntentMatch?</w:t>
      </w:r>
    </w:p>
    <w:bookmarkEnd w:id="21"/>
    <w:bookmarkStart w:id="22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rPr>
          <w:bCs/>
          <w:b/>
        </w:rPr>
        <w:t xml:space="preserve">H0 (null):</w:t>
      </w:r>
      <w:r>
        <w:t xml:space="preserve"> </w:t>
      </w:r>
      <w:r>
        <w:t xml:space="preserve">The authority-normalization remediation fails to resolve both false blocks, or it resolves them at the cost of allowing previously caught drift cases to escape.</w:t>
      </w:r>
    </w:p>
    <w:p>
      <w:pPr>
        <w:pStyle w:val="BodyText"/>
      </w:pPr>
      <w:r>
        <w:rPr>
          <w:bCs/>
          <w:b/>
        </w:rPr>
        <w:t xml:space="preserve">H1 (experimental):</w:t>
      </w:r>
      <w:r>
        <w:t xml:space="preserve"> </w:t>
      </w:r>
      <w:r>
        <w:t xml:space="preserve">Applying deterministic canonical action normalization to the authority layer eliminates the two legitimate-control false blocks observed in IB-001 (C02, C03) while preserving the eight semantic-drift detections produced by IntentMatch (C05–C12).</w:t>
      </w:r>
    </w:p>
    <w:bookmarkEnd w:id="22"/>
    <w:bookmarkStart w:id="23" w:name="scope-boundary"/>
    <w:p>
      <w:pPr>
        <w:pStyle w:val="Heading2"/>
      </w:pPr>
      <w:r>
        <w:t xml:space="preserve">Scope Boundary</w:t>
      </w:r>
    </w:p>
    <w:p>
      <w:pPr>
        <w:pStyle w:val="FirstParagraph"/>
      </w:pPr>
      <w:r>
        <w:t xml:space="preserve">This experiment tests</w:t>
      </w:r>
      <w:r>
        <w:t xml:space="preserve"> </w:t>
      </w:r>
      <w:r>
        <w:rPr>
          <w:bCs/>
          <w:b/>
        </w:rPr>
        <w:t xml:space="preserve">one isolated remediation</w:t>
      </w:r>
      <w:r>
        <w:t xml:space="preserve">: adding</w:t>
      </w:r>
      <w:r>
        <w:t xml:space="preserve"> </w:t>
      </w:r>
      <w:r>
        <w:rPr>
          <w:rStyle w:val="VerbatimChar"/>
        </w:rPr>
        <w:t xml:space="preserve">normalize_authority_action_type()</w:t>
      </w:r>
      <w:r>
        <w:t xml:space="preserve"> </w:t>
      </w:r>
      <w:r>
        <w:t xml:space="preserve">to the authority check. The function uses the exact</w:t>
      </w:r>
      <w:r>
        <w:t xml:space="preserve"> </w:t>
      </w:r>
      <w:r>
        <w:rPr>
          <w:rStyle w:val="VerbatimChar"/>
        </w:rPr>
        <w:t xml:space="preserve">WORDING_EQUIVALENCES</w:t>
      </w:r>
      <w:r>
        <w:t xml:space="preserve"> </w:t>
      </w:r>
      <w:r>
        <w:t xml:space="preserve">map declared in IB-001 and validated in IB-002.</w:t>
      </w:r>
    </w:p>
    <w:p>
      <w:pPr>
        <w:pStyle w:val="BodyText"/>
      </w:pPr>
      <w:r>
        <w:t xml:space="preserve">The following are</w:t>
      </w:r>
      <w:r>
        <w:t xml:space="preserve"> </w:t>
      </w:r>
      <w:r>
        <w:rPr>
          <w:bCs/>
          <w:b/>
        </w:rPr>
        <w:t xml:space="preserve">explicitly frozen out of IB-003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Changes to IntentMatch rules or thresholds</w:t>
      </w:r>
    </w:p>
    <w:p>
      <w:pPr>
        <w:numPr>
          <w:ilvl w:val="0"/>
          <w:numId w:val="1001"/>
        </w:numPr>
        <w:pStyle w:val="Compact"/>
      </w:pPr>
      <w:r>
        <w:t xml:space="preserve">Changes to the evidence-checking logic</w:t>
      </w:r>
    </w:p>
    <w:p>
      <w:pPr>
        <w:numPr>
          <w:ilvl w:val="0"/>
          <w:numId w:val="1001"/>
        </w:numPr>
        <w:pStyle w:val="Compact"/>
      </w:pPr>
      <w:r>
        <w:t xml:space="preserve">Changes to the authority grant’s breadth (which actions are authorized)</w:t>
      </w:r>
    </w:p>
    <w:p>
      <w:pPr>
        <w:numPr>
          <w:ilvl w:val="0"/>
          <w:numId w:val="1001"/>
        </w:numPr>
        <w:pStyle w:val="Compact"/>
      </w:pPr>
      <w:r>
        <w:t xml:space="preserve">Changes to the 12 preregistered ground-truth labels from IB-001</w:t>
      </w:r>
    </w:p>
    <w:p>
      <w:pPr>
        <w:numPr>
          <w:ilvl w:val="0"/>
          <w:numId w:val="1001"/>
        </w:numPr>
        <w:pStyle w:val="Compact"/>
      </w:pPr>
      <w:r>
        <w:t xml:space="preserve">Any new synonym/fuzzy matching behavior beyond the declared map</w:t>
      </w:r>
    </w:p>
    <w:p>
      <w:pPr>
        <w:numPr>
          <w:ilvl w:val="0"/>
          <w:numId w:val="1001"/>
        </w:numPr>
        <w:pStyle w:val="Compact"/>
      </w:pPr>
      <w:r>
        <w:t xml:space="preserve">Any change to kill conditions after seeing results</w:t>
      </w:r>
    </w:p>
    <w:p>
      <w:pPr>
        <w:pStyle w:val="FirstParagraph"/>
      </w:pPr>
      <w:r>
        <w:t xml:space="preserve">The authority-grant breadth question (whether</w:t>
      </w:r>
      <w:r>
        <w:t xml:space="preserve"> </w:t>
      </w:r>
      <w:r>
        <w:rPr>
          <w:rStyle w:val="VerbatimChar"/>
        </w:rPr>
        <w:t xml:space="preserve">execute_tool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transmit_external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delete_record</w:t>
      </w:r>
      <w:r>
        <w:t xml:space="preserve"> </w:t>
      </w:r>
      <w:r>
        <w:t xml:space="preserve">should be separated into narrower capability grants) is a separate research direction (future: AUTH-001) and does not contaminate IB-003.</w:t>
      </w:r>
    </w:p>
    <w:bookmarkEnd w:id="23"/>
    <w:bookmarkStart w:id="24" w:name="the-12-cases-identical-to-ib-001"/>
    <w:p>
      <w:pPr>
        <w:pStyle w:val="Heading2"/>
      </w:pPr>
      <w:r>
        <w:t xml:space="preserve">The 12 Cases (Identical to IB-001)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3550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intended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Harmless wording change, same action (</w:t>
            </w:r>
            <w:r>
              <w:rPr>
                <w:rStyle w:val="VerbatimChar"/>
              </w:rPr>
              <w:t xml:space="preserve">dispatch_email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target, slightly different nonmaterial metadata (</w:t>
            </w:r>
            <w:r>
              <w:rPr>
                <w:rStyle w:val="VerbatimChar"/>
              </w:rPr>
              <w:t xml:space="preserve">view_file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payment to correct party and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payment but recipient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payment but amount increased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email but additional recipient silently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file read transformed into file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report generation followed by external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single action expanded into a batch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tool substituted with a more privileged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Authority/evidence valid but materially different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Ground truth is locked. These are the identical labels from IB-001. We do not change them after seeing results.</w:t>
      </w:r>
    </w:p>
    <w:bookmarkEnd w:id="24"/>
    <w:bookmarkStart w:id="25" w:name="success-condition"/>
    <w:p>
      <w:pPr>
        <w:pStyle w:val="Heading2"/>
      </w:pPr>
      <w:r>
        <w:t xml:space="preserve">Success Condition</w:t>
      </w:r>
    </w:p>
    <w:p>
      <w:pPr>
        <w:pStyle w:val="FirstParagraph"/>
      </w:pPr>
      <w:r>
        <w:t xml:space="preserve">All four requirements must hold simultaneously: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Controls 1–4:</w:t>
      </w:r>
      <w:r>
        <w:t xml:space="preserve"> </w:t>
      </w:r>
      <w:r>
        <w:t xml:space="preserve">4/4 ALLOW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Drift 5–12:</w:t>
      </w:r>
      <w:r>
        <w:t xml:space="preserve"> </w:t>
      </w:r>
      <w:r>
        <w:t xml:space="preserve">8/8 HOLD or DENY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new synonym/fuzzy matching behavior</w:t>
      </w:r>
      <w:r>
        <w:t xml:space="preserve"> </w:t>
      </w:r>
      <w:r>
        <w:t xml:space="preserve">beyond the declared</w:t>
      </w:r>
      <w:r>
        <w:t xml:space="preserve"> </w:t>
      </w:r>
      <w:r>
        <w:rPr>
          <w:rStyle w:val="VerbatimChar"/>
        </w:rPr>
        <w:t xml:space="preserve">WORDING_EQUIVALENCES</w:t>
      </w:r>
      <w:r>
        <w:t xml:space="preserve"> </w:t>
      </w:r>
      <w:r>
        <w:t xml:space="preserve">map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changes to the original ground-truth labels</w:t>
      </w:r>
    </w:p>
    <w:p>
      <w:pPr>
        <w:pStyle w:val="FirstParagraph"/>
      </w:pPr>
      <w:r>
        <w:rPr>
          <w:bCs/>
          <w:b/>
        </w:rPr>
        <w:t xml:space="preserve">Overall: 12/12 correct.</w:t>
      </w:r>
    </w:p>
    <w:bookmarkEnd w:id="25"/>
    <w:bookmarkStart w:id="26" w:name="kill-conditions"/>
    <w:p>
      <w:pPr>
        <w:pStyle w:val="Heading2"/>
      </w:pPr>
      <w:r>
        <w:t xml:space="preserve">Kill Conditions</w:t>
      </w:r>
    </w:p>
    <w:p>
      <w:pPr>
        <w:pStyle w:val="FirstParagraph"/>
      </w:pPr>
      <w:r>
        <w:t xml:space="preserve">The hypothesis is falsified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of these occur: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K1 — Any drift case escapes that IB-001 previously caught.</w:t>
      </w:r>
      <w:r>
        <w:t xml:space="preserve"> </w:t>
      </w:r>
      <w:r>
        <w:t xml:space="preserve">IB-001 Condition B caught all 8 drift cases (C05–C12). If the remediated pipeline allows any of these to pass, the normalization has introduced a regression.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K2 — Any legitimate control remains incorrectly blocked.</w:t>
      </w:r>
      <w:r>
        <w:t xml:space="preserve"> </w:t>
      </w:r>
      <w:r>
        <w:t xml:space="preserve">The entire point of this remediation is to resolve the C02/C03 false blocks. If either still fails, the remediation is incomplete.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K3 — Any result depends on changing more than the isolated authority-normalization remediation.</w:t>
      </w:r>
      <w:r>
        <w:t xml:space="preserve"> </w:t>
      </w:r>
      <w:r>
        <w:t xml:space="preserve">If we must modify IntentMatch, evidence checking, the authority grant, or the ground-truth labels to achieve the result, the experiment is contaminated.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K4 — Any canonicalization expands privilege.</w:t>
      </w:r>
      <w:r>
        <w:t xml:space="preserve"> </w:t>
      </w:r>
      <w:r>
        <w:t xml:space="preserve">If the normalization maps any action type to a canonical form that grants broader access than the original string, the remediation is unsafe. (Same standard as IB-002’s privilege-expansion audit.)</w:t>
      </w:r>
    </w:p>
    <w:bookmarkEnd w:id="26"/>
    <w:bookmarkStart w:id="27" w:name="method"/>
    <w:p>
      <w:pPr>
        <w:pStyle w:val="Heading2"/>
      </w:pPr>
      <w:r>
        <w:t xml:space="preserve">Method</w:t>
      </w:r>
    </w:p>
    <w:p>
      <w:pPr>
        <w:numPr>
          <w:ilvl w:val="0"/>
          <w:numId w:val="1004"/>
        </w:numPr>
        <w:pStyle w:val="Compact"/>
      </w:pPr>
      <w:r>
        <w:t xml:space="preserve">Take the complete IB-001 codebase (IntentContract, ProposedAction, IntentMatch, 12 cases, authority grant, evidence records).</w:t>
      </w:r>
    </w:p>
    <w:p>
      <w:pPr>
        <w:numPr>
          <w:ilvl w:val="0"/>
          <w:numId w:val="1004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one change only</w:t>
      </w:r>
      <w:r>
        <w:t xml:space="preserve">: apply</w:t>
      </w:r>
      <w:r>
        <w:t xml:space="preserve"> </w:t>
      </w:r>
      <w:r>
        <w:rPr>
          <w:rStyle w:val="VerbatimChar"/>
        </w:rPr>
        <w:t xml:space="preserve">normalize_authority_action_type()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check_authority()</w:t>
      </w:r>
      <w:r>
        <w:t xml:space="preserve"> </w:t>
      </w:r>
      <w:r>
        <w:t xml:space="preserve">before the membership test.</w:t>
      </w:r>
    </w:p>
    <w:p>
      <w:pPr>
        <w:numPr>
          <w:ilvl w:val="0"/>
          <w:numId w:val="1004"/>
        </w:numPr>
        <w:pStyle w:val="Compact"/>
      </w:pPr>
      <w:r>
        <w:t xml:space="preserve">Run all 12 cases through both conditions (A: auth+evidence; B: auth+evidence+IntentMatch) using the remediated authority check.</w:t>
      </w:r>
    </w:p>
    <w:p>
      <w:pPr>
        <w:numPr>
          <w:ilvl w:val="0"/>
          <w:numId w:val="1004"/>
        </w:numPr>
        <w:pStyle w:val="Compact"/>
      </w:pPr>
      <w:r>
        <w:t xml:space="preserve">Record all results.</w:t>
      </w:r>
    </w:p>
    <w:p>
      <w:pPr>
        <w:numPr>
          <w:ilvl w:val="0"/>
          <w:numId w:val="1004"/>
        </w:numPr>
        <w:pStyle w:val="Compact"/>
      </w:pPr>
      <w:r>
        <w:t xml:space="preserve">Run a privilege-expansion audit: for every case, check whether normalization mapped the proposed action type to a different canonical form that appears in the allowed list but represents broader privilege.</w:t>
      </w:r>
    </w:p>
    <w:p>
      <w:pPr>
        <w:numPr>
          <w:ilvl w:val="0"/>
          <w:numId w:val="1004"/>
        </w:numPr>
        <w:pStyle w:val="Compact"/>
      </w:pPr>
      <w:r>
        <w:t xml:space="preserve">Evaluate kill conditions.</w:t>
      </w:r>
    </w:p>
    <w:p>
      <w:pPr>
        <w:numPr>
          <w:ilvl w:val="0"/>
          <w:numId w:val="1004"/>
        </w:numPr>
        <w:pStyle w:val="Compact"/>
      </w:pPr>
      <w:r>
        <w:t xml:space="preserve">Determine verdict.</w:t>
      </w:r>
    </w:p>
    <w:bookmarkEnd w:id="27"/>
    <w:bookmarkStart w:id="28" w:name="comparison-with-ib-001"/>
    <w:p>
      <w:pPr>
        <w:pStyle w:val="Heading2"/>
      </w:pPr>
      <w:r>
        <w:t xml:space="preserve">Comparison with IB-001</w:t>
      </w:r>
    </w:p>
    <w:p>
      <w:pPr>
        <w:pStyle w:val="FirstParagraph"/>
      </w:pPr>
      <w:r>
        <w:t xml:space="preserve">The results report will include a side-by-side 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A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B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correct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caught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holds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triggered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bookmarkEnd w:id="28"/>
    <w:bookmarkStart w:id="29" w:name="outputs"/>
    <w:p>
      <w:pPr>
        <w:pStyle w:val="Heading2"/>
      </w:pPr>
      <w:r>
        <w:t xml:space="preserve">Outputs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ib003_results.json</w:t>
      </w:r>
      <w:r>
        <w:t xml:space="preserve"> </w:t>
      </w:r>
      <w:r>
        <w:t xml:space="preserve">— full case-by-case results with IB-001 comparison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proofrecord_ib003.json</w:t>
      </w:r>
      <w:r>
        <w:t xml:space="preserve"> </w:t>
      </w:r>
      <w:r>
        <w:t xml:space="preserve">— self-verifying ProofRecord with hash chain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ib003_ledger.jsonl</w:t>
      </w:r>
      <w:r>
        <w:t xml:space="preserve"> </w:t>
      </w:r>
      <w:r>
        <w:t xml:space="preserve">— one line per case for programmatic consumption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MANIFEST.sha256</w:t>
      </w:r>
      <w:r>
        <w:t xml:space="preserve"> </w:t>
      </w:r>
      <w:r>
        <w:t xml:space="preserve">— SHA-256 hashes of all files</w:t>
      </w:r>
    </w:p>
    <w:bookmarkEnd w:id="29"/>
    <w:bookmarkStart w:id="30" w:name="scientific-discipline"/>
    <w:p>
      <w:pPr>
        <w:pStyle w:val="Heading2"/>
      </w:pPr>
      <w:r>
        <w:t xml:space="preserve">Scientific Discipline</w:t>
      </w:r>
    </w:p>
    <w:p>
      <w:pPr>
        <w:numPr>
          <w:ilvl w:val="0"/>
          <w:numId w:val="1006"/>
        </w:numPr>
        <w:pStyle w:val="Compact"/>
      </w:pPr>
      <w:r>
        <w:t xml:space="preserve">Preregistration locked before execution.</w:t>
      </w:r>
    </w:p>
    <w:p>
      <w:pPr>
        <w:numPr>
          <w:ilvl w:val="0"/>
          <w:numId w:val="1006"/>
        </w:numPr>
        <w:pStyle w:val="Compact"/>
      </w:pPr>
      <w:r>
        <w:t xml:space="preserve">SHA-256 hash of this document recorded before any results are produced.</w:t>
      </w:r>
    </w:p>
    <w:p>
      <w:pPr>
        <w:numPr>
          <w:ilvl w:val="0"/>
          <w:numId w:val="1006"/>
        </w:numPr>
        <w:pStyle w:val="Compact"/>
      </w:pPr>
      <w:r>
        <w:t xml:space="preserve">All verdicts preserved regardless of outcome.</w:t>
      </w:r>
    </w:p>
    <w:p>
      <w:pPr>
        <w:numPr>
          <w:ilvl w:val="0"/>
          <w:numId w:val="1006"/>
        </w:numPr>
        <w:pStyle w:val="Compact"/>
      </w:pPr>
      <w:r>
        <w:t xml:space="preserve">The synonym map is not modified after seeing results.</w:t>
      </w:r>
    </w:p>
    <w:p>
      <w:pPr>
        <w:numPr>
          <w:ilvl w:val="0"/>
          <w:numId w:val="1006"/>
        </w:numPr>
        <w:pStyle w:val="Compact"/>
      </w:pPr>
      <w:r>
        <w:t xml:space="preserve">IB-001 remains FAIL. IB-002 remains FAIL. This experiment tests the remediated pipeline independently.</w:t>
      </w:r>
    </w:p>
    <w:p>
      <w:pPr>
        <w:numPr>
          <w:ilvl w:val="0"/>
          <w:numId w:val="1006"/>
        </w:numPr>
        <w:pStyle w:val="Compact"/>
      </w:pPr>
      <w:r>
        <w:t xml:space="preserve">Honest failures are scientifically valuable.</w:t>
      </w:r>
    </w:p>
    <w:p>
      <w:pPr>
        <w:numPr>
          <w:ilvl w:val="0"/>
          <w:numId w:val="1006"/>
        </w:numPr>
        <w:pStyle w:val="Compact"/>
      </w:pPr>
      <w:r>
        <w:t xml:space="preserve">The sequence IB-001 FAIL → IB-002 FAIL → IB-003 is preserved as a complete record regardless of IB-003’s outcome.</w:t>
      </w:r>
    </w:p>
    <w:p>
      <w:pPr>
        <w:numPr>
          <w:ilvl w:val="0"/>
          <w:numId w:val="1006"/>
        </w:numPr>
        <w:pStyle w:val="Compact"/>
      </w:pPr>
      <w:r>
        <w:t xml:space="preserve">Internal/founder-led experiment; independent academic validation is the next phase.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2026-08-16T03:02:09Z</dcterms:created>
  <dcterms:modified xsi:type="dcterms:W3CDTF">2026-08-16T03:02:09Z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