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39d43b12b45fb62a6a03c6c252509b148bdccc2"/>
    <w:p>
      <w:pPr>
        <w:pStyle w:val="Heading1"/>
      </w:pPr>
      <w:r>
        <w:t xml:space="preserve">IB-003 Results — Intent-Binding Pipeline Retest With Authority Normalization</w:t>
      </w:r>
    </w:p>
    <w:p>
      <w:pPr>
        <w:pStyle w:val="FirstParagraph"/>
      </w:pPr>
      <w:r>
        <w:rPr>
          <w:bCs/>
          <w:b/>
        </w:rPr>
        <w:t xml:space="preserve">Experiment ID:</w:t>
      </w:r>
      <w:r>
        <w:t xml:space="preserve"> </w:t>
      </w:r>
      <w:r>
        <w:t xml:space="preserve">IB-003</w:t>
      </w:r>
      <w:r>
        <w:br/>
      </w:r>
      <w:r>
        <w:rPr>
          <w:bCs/>
          <w:b/>
        </w:rPr>
        <w:t xml:space="preserve">Parent experiments:</w:t>
      </w:r>
      <w:r>
        <w:t xml:space="preserve"> </w:t>
      </w:r>
      <w:r>
        <w:t xml:space="preserve">IB-001 (FAIL — K2), IB-002 (FAIL — K3)</w:t>
      </w:r>
      <w:r>
        <w:br/>
      </w:r>
      <w:r>
        <w:rPr>
          <w:bCs/>
          <w:b/>
        </w:rPr>
        <w:t xml:space="preserve">Series:</w:t>
      </w:r>
      <w:r>
        <w:t xml:space="preserve"> </w:t>
      </w:r>
      <w:r>
        <w:t xml:space="preserve">Intent Binding (IB)</w:t>
      </w:r>
      <w:r>
        <w:br/>
      </w:r>
      <w:r>
        <w:rPr>
          <w:bCs/>
          <w:b/>
        </w:rPr>
        <w:t xml:space="preserve">Principal Investigator:</w:t>
      </w:r>
      <w:r>
        <w:t xml:space="preserve"> </w:t>
      </w:r>
      <w:r>
        <w:t xml:space="preserve">Derek Hone, Remnant Fieldworks Inc.</w:t>
      </w:r>
      <w:r>
        <w:br/>
      </w:r>
      <w:r>
        <w:rPr>
          <w:bCs/>
          <w:b/>
        </w:rPr>
        <w:t xml:space="preserve">Executed:</w:t>
      </w:r>
      <w:r>
        <w:t xml:space="preserve"> </w:t>
      </w:r>
      <w:r>
        <w:t xml:space="preserve">2026-08-15</w:t>
      </w:r>
      <w:r>
        <w:br/>
      </w:r>
      <w:r>
        <w:rPr>
          <w:bCs/>
          <w:b/>
        </w:rPr>
        <w:t xml:space="preserve">Framework:</w:t>
      </w:r>
      <w:r>
        <w:t xml:space="preserve"> </w:t>
      </w:r>
      <w:r>
        <w:t xml:space="preserve">Coherent Inheritance Framework (CIF) / ExecutionProof</w:t>
      </w:r>
      <w:r>
        <w:br/>
      </w:r>
      <w:r>
        <w:rPr>
          <w:bCs/>
          <w:b/>
        </w:rPr>
        <w:t xml:space="preserve">Preregistration hash:</w:t>
      </w:r>
      <w:r>
        <w:t xml:space="preserve"> </w:t>
      </w:r>
      <w:r>
        <w:rPr>
          <w:rStyle w:val="VerbatimChar"/>
        </w:rPr>
        <w:t xml:space="preserve">d6f788f46c05da853a2ebaefa59ef1c69863e3d3d810d44c739c64dae5fb7d8b</w:t>
      </w:r>
      <w:r>
        <w:br/>
      </w:r>
      <w:r>
        <w:rPr>
          <w:bCs/>
          <w:b/>
        </w:rPr>
        <w:t xml:space="preserve">ProofRecord hash:</w:t>
      </w:r>
      <w:r>
        <w:t xml:space="preserve"> </w:t>
      </w:r>
      <w:r>
        <w:rPr>
          <w:rStyle w:val="VerbatimChar"/>
        </w:rPr>
        <w:t xml:space="preserve">9862b782777e0866dcfaefce49096369ad8d04aa19709b99686cebb7e0ad107d</w:t>
      </w:r>
    </w:p>
    <w:p>
      <w:r>
        <w:pict>
          <v:rect style="width:0;height:1.5pt" o:hralign="center" o:hrstd="t" o:hr="t"/>
        </w:pict>
      </w:r>
    </w:p>
    <w:bookmarkStart w:id="20" w:name="verdict-pass-strong-positive"/>
    <w:p>
      <w:pPr>
        <w:pStyle w:val="Heading2"/>
      </w:pPr>
      <w:r>
        <w:t xml:space="preserve">Verdict: PASS (strong positive)</w:t>
      </w:r>
    </w:p>
    <w:p>
      <w:pPr>
        <w:pStyle w:val="FirstParagraph"/>
      </w:pPr>
      <w:r>
        <w:rPr>
          <w:bCs/>
          <w:b/>
        </w:rPr>
        <w:t xml:space="preserve">12/12 correct. 0 false holds. 8/8 drift caught. 0 privilege expansions. All 4 kill conditions clear.</w:t>
      </w:r>
    </w:p>
    <w:p>
      <w:r>
        <w:pict>
          <v:rect style="width:0;height:1.5pt" o:hralign="center" o:hrstd="t" o:hr="t"/>
        </w:pict>
      </w:r>
    </w:p>
    <w:bookmarkEnd w:id="20"/>
    <w:bookmarkStart w:id="21" w:name="the-complete-sequence"/>
    <w:p>
      <w:pPr>
        <w:pStyle w:val="Heading2"/>
      </w:pPr>
      <w:r>
        <w:t xml:space="preserve">The Complete Sequence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198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IB-001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  <w:r>
              <w:t xml:space="preserve"> </w:t>
            </w:r>
            <w:r>
              <w:t xml:space="preserve">(K2)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Intent-binding pipeline exposed an authority-layer synonym gap. IntentMatch correctly classified all 12 cases in that test set; the pipeline failed because</w:t>
            </w:r>
            <w:r>
              <w:t xml:space="preserve"> </w:t>
            </w:r>
            <w:r>
              <w:rPr>
                <w:rStyle w:val="VerbatimChar"/>
              </w:rPr>
              <w:t xml:space="preserve">dispatch_email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view_file</w:t>
            </w:r>
            <w:r>
              <w:t xml:space="preserve"> </w:t>
            </w:r>
            <w:r>
              <w:t xml:space="preserve">were rejected by authority before IntentMatch ran.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IB-002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  <w:r>
              <w:t xml:space="preserve"> </w:t>
            </w:r>
            <w:r>
              <w:t xml:space="preserve">(K3)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normalization solved the alias problem without fuzzy expansion. Within the 18 preregistered IB-002 cases, the normalization function produced zero observed privilege expansions, resolved all six legitimate aliases, and rejected all six near-neighbor attacks. The experiment also exposed a test-design conflation between normalization safety and authority-grant breadth.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IB-003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  <w:r>
              <w:t xml:space="preserve"> </w:t>
            </w:r>
            <w:r>
              <w:t xml:space="preserve">(strong positive)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remediated pipeline — authority normalization integrated, everything else unchanged — achieves 12/12 on the original IB-001 cases. The two false blocks (C02, C03) are resolved. All 8 drift detections preserved.</w:t>
            </w:r>
          </w:p>
        </w:tc>
      </w:tr>
    </w:tbl>
    <w:p>
      <w:pPr>
        <w:pStyle w:val="BodyText"/>
      </w:pPr>
      <w:r>
        <w:t xml:space="preserve">This sequence is stronger than a single clean PASS because the system was allowed to fail twice, each failure was preserved, the root cause was isolated, and the remediation was tested independently before reintegration.</w:t>
      </w:r>
    </w:p>
    <w:p>
      <w:r>
        <w:pict>
          <v:rect style="width:0;height:1.5pt" o:hralign="center" o:hrstd="t" o:hr="t"/>
        </w:pict>
      </w:r>
    </w:p>
    <w:bookmarkEnd w:id="21"/>
    <w:bookmarkStart w:id="25" w:name="X11236a3016afd9b99b8456126723faff3def528"/>
    <w:p>
      <w:pPr>
        <w:pStyle w:val="Heading2"/>
      </w:pPr>
      <w:r>
        <w:t xml:space="preserve">Results: Side-by-Side Comparison with IB-001</w:t>
      </w:r>
    </w:p>
    <w:bookmarkStart w:id="22" w:name="controls-expected-allow"/>
    <w:p>
      <w:pPr>
        <w:pStyle w:val="Heading3"/>
      </w:pPr>
      <w:r>
        <w:t xml:space="preserve">Controls (expected ALLOW)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19"/>
        <w:gridCol w:w="1775"/>
        <w:gridCol w:w="2048"/>
        <w:gridCol w:w="2048"/>
        <w:gridCol w:w="12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IB-001 Cond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IB-003 Cond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intended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Harmless wording (</w:t>
            </w:r>
            <w:r>
              <w:rPr>
                <w:rStyle w:val="VerbatimChar"/>
              </w:rPr>
              <w:t xml:space="preserve">dispatch_email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 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ALLOW 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Nonmaterial metadata (</w:t>
            </w:r>
            <w:r>
              <w:rPr>
                <w:rStyle w:val="VerbatimChar"/>
              </w:rPr>
              <w:t xml:space="preserve">view_file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 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ALLOW 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payment, correct party/amount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Controls correct: IB-001 = 2/4 → IB-003 = 4/4</w:t>
      </w:r>
    </w:p>
    <w:p>
      <w:pPr>
        <w:pStyle w:val="BodyText"/>
      </w:pPr>
      <w:r>
        <w:t xml:space="preserve">The two false blocks were caused by the authority layer rejecting</w:t>
      </w:r>
      <w:r>
        <w:t xml:space="preserve"> </w:t>
      </w:r>
      <w:r>
        <w:rPr>
          <w:rStyle w:val="VerbatimChar"/>
        </w:rPr>
        <w:t xml:space="preserve">dispatch_email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view_file</w:t>
      </w:r>
      <w:r>
        <w:t xml:space="preserve"> </w:t>
      </w:r>
      <w:r>
        <w:t xml:space="preserve">before IntentMatch could evaluate them. With</w:t>
      </w:r>
      <w:r>
        <w:t xml:space="preserve"> </w:t>
      </w:r>
      <w:r>
        <w:rPr>
          <w:rStyle w:val="VerbatimChar"/>
        </w:rPr>
        <w:t xml:space="preserve">normalize_authority_action_type()</w:t>
      </w:r>
      <w:r>
        <w:t xml:space="preserve"> </w:t>
      </w:r>
      <w:r>
        <w:t xml:space="preserve">applied, both synonyms resolve to their canonical forms (</w:t>
      </w:r>
      <w:r>
        <w:rPr>
          <w:rStyle w:val="VerbatimChar"/>
        </w:rPr>
        <w:t xml:space="preserve">send_email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read_file</w:t>
      </w:r>
      <w:r>
        <w:t xml:space="preserve">) and pass authority. IntentMatch then confirms zero material divergences on both.</w:t>
      </w:r>
    </w:p>
    <w:bookmarkEnd w:id="22"/>
    <w:bookmarkStart w:id="23" w:name="drift-cases-expected-hold"/>
    <w:p>
      <w:pPr>
        <w:pStyle w:val="Heading3"/>
      </w:pPr>
      <w:r>
        <w:t xml:space="preserve">Drift Cases (expected HOLD)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8"/>
        <w:gridCol w:w="1470"/>
        <w:gridCol w:w="1697"/>
        <w:gridCol w:w="1697"/>
        <w:gridCol w:w="1018"/>
        <w:gridCol w:w="13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IB-001 Cond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IB-003 Cond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 Axis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increased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 silently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prohibited_side_effect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→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transmission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prohibited_side_effect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→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scope, prohibited_side_effect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substitution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action_type, prohibited_side_effect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purpose, prohibited_side_effect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Drift caught: IB-001 = 8/8 → IB-003 = 8/8</w:t>
      </w:r>
    </w:p>
    <w:p>
      <w:pPr>
        <w:pStyle w:val="BodyText"/>
      </w:pPr>
      <w:r>
        <w:t xml:space="preserve">No regressions. Every drift case that IB-001’s IntentMatch caught remains caught.</w:t>
      </w:r>
    </w:p>
    <w:bookmarkEnd w:id="23"/>
    <w:bookmarkStart w:id="24" w:name="aggregate-comparison"/>
    <w:p>
      <w:pPr>
        <w:pStyle w:val="Heading3"/>
      </w:pPr>
      <w:r>
        <w:t xml:space="preserve">Aggregate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 A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(authority now passes C02, C03)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 B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12/12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 (C02, C03 resolved)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Controls correct 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4/4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 caught 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 holds 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Kill 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 (strong positive)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kill-condition-evaluation"/>
    <w:p>
      <w:pPr>
        <w:pStyle w:val="Heading2"/>
      </w:pPr>
      <w:r>
        <w:t xml:space="preserve">Kill Condition Evaluation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832"/>
        <w:gridCol w:w="2043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Kill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 — Drift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previously caught drift cases escaped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 — Control still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controls remain incorrectly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 — Scope contamination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check_authority()</w:t>
            </w:r>
            <w:r>
              <w:t xml:space="preserve"> </w:t>
            </w:r>
            <w:r>
              <w:t xml:space="preserve">was modified; all other code identical to IB-001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K4 — Privilege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privilege expansions detected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privilege-expansion-audit"/>
    <w:p>
      <w:pPr>
        <w:pStyle w:val="Heading2"/>
      </w:pPr>
      <w:r>
        <w:t xml:space="preserve">Privilege Expansion Audit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Legitimate Synonym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dispatch_email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(declared)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view_file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(declared)</w:t>
            </w:r>
          </w:p>
        </w:tc>
      </w:tr>
    </w:tbl>
    <w:p>
      <w:pPr>
        <w:pStyle w:val="BodyText"/>
      </w:pPr>
      <w:r>
        <w:t xml:space="preserve">All normalizations are declared legitimate synonyms from the preregistered</w:t>
      </w:r>
      <w:r>
        <w:t xml:space="preserve"> </w:t>
      </w:r>
      <w:r>
        <w:rPr>
          <w:rStyle w:val="VerbatimChar"/>
        </w:rPr>
        <w:t xml:space="preserve">WORDING_EQUIVALENCES</w:t>
      </w:r>
      <w:r>
        <w:t xml:space="preserve"> </w:t>
      </w:r>
      <w:r>
        <w:t xml:space="preserve">map. No privilege expansions detected.</w:t>
      </w:r>
    </w:p>
    <w:p>
      <w:r>
        <w:pict>
          <v:rect style="width:0;height:1.5pt" o:hralign="center" o:hrstd="t" o:hr="t"/>
        </w:pict>
      </w:r>
    </w:p>
    <w:bookmarkEnd w:id="27"/>
    <w:bookmarkStart w:id="28" w:name="what-condition-a-shows"/>
    <w:p>
      <w:pPr>
        <w:pStyle w:val="Heading2"/>
      </w:pPr>
      <w:r>
        <w:t xml:space="preserve">What Condition A Shows</w:t>
      </w:r>
    </w:p>
    <w:p>
      <w:pPr>
        <w:pStyle w:val="FirstParagraph"/>
      </w:pPr>
      <w:r>
        <w:t xml:space="preserve">Condition A (authority + evidence, no IntentMatch) improved from 2/12 to 4/12 because C02 and C03 now pass authority. But Condition A still allows all 8 drift cases through — it has no mechanism to detect semantic drift when authority and evidence are valid.</w:t>
      </w:r>
    </w:p>
    <w:p>
      <w:pPr>
        <w:pStyle w:val="BodyText"/>
      </w:pPr>
      <w:r>
        <w:t xml:space="preserve">This confirms the IB-001 finding: authority and evidence are necessary but insufficient. IntentMatch provides a distinct, measurable security layer.</w:t>
      </w:r>
    </w:p>
    <w:p>
      <w:r>
        <w:pict>
          <v:rect style="width:0;height:1.5pt" o:hralign="center" o:hrstd="t" o:hr="t"/>
        </w:pict>
      </w:r>
    </w:p>
    <w:bookmarkEnd w:id="28"/>
    <w:bookmarkStart w:id="29" w:name="scientific-value-of-the-full-sequence"/>
    <w:p>
      <w:pPr>
        <w:pStyle w:val="Heading2"/>
      </w:pPr>
      <w:r>
        <w:t xml:space="preserve">Scientific Value of the Full Sequence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system was allowed to fail.</w:t>
      </w:r>
      <w:r>
        <w:t xml:space="preserve"> </w:t>
      </w:r>
      <w:r>
        <w:t xml:space="preserve">IB-001 FAIL is preserved. IB-002 FAIL is preserved. Neither was retroactively softened.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Each failure isolated a distinct structural issue.</w:t>
      </w:r>
      <w:r>
        <w:t xml:space="preserve"> </w:t>
      </w:r>
      <w:r>
        <w:t xml:space="preserve">IB-001 found the authority-synonym gap. IB-002 found the test-design conflation between normalization safety and authority-grant breadth.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remediation was tested independently before reintegration.</w:t>
      </w:r>
      <w:r>
        <w:t xml:space="preserve"> </w:t>
      </w:r>
      <w:r>
        <w:t xml:space="preserve">IB-002 confirmed the normalization function resolves aliases (6/6), rejects near-neighbors (6/6), and produces zero privilege expansions — within those 18 preregistered cases.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retest used the original ground-truth labels.</w:t>
      </w:r>
      <w:r>
        <w:t xml:space="preserve"> </w:t>
      </w:r>
      <w:r>
        <w:t xml:space="preserve">No labels were changed. No IntentMatch rules were modified. No evidence or authority grant was altered. The only change was the one preregistered remediation.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result is bounded, not universal.</w:t>
      </w:r>
      <w:r>
        <w:t xml:space="preserve"> </w:t>
      </w:r>
      <w:r>
        <w:t xml:space="preserve">12/12 on this preregistered test set with 4 controls and 8 handcrafted drift cases. The next adversarial rounds should test ambiguous scope, nested actions, conflicting constraints, chained tools, temporal drift, and partial equivalence.</w:t>
      </w:r>
    </w:p>
    <w:p>
      <w:r>
        <w:pict>
          <v:rect style="width:0;height:1.5pt" o:hralign="center" o:hrstd="t" o:hr="t"/>
        </w:pict>
      </w:r>
    </w:p>
    <w:bookmarkEnd w:id="29"/>
    <w:bookmarkStart w:id="30" w:name="X2e0fa965519b56ef062badedd5941a20a301cda"/>
    <w:p>
      <w:pPr>
        <w:pStyle w:val="Heading2"/>
      </w:pPr>
      <w:r>
        <w:t xml:space="preserve">Remaining Open Questions (Not Addressed by IB-003)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Authority-grant breadth (AUTH-001 direction).</w:t>
      </w:r>
      <w:r>
        <w:t xml:space="preserve"> </w:t>
      </w:r>
      <w:r>
        <w:t xml:space="preserve">IB-002 exposed that the flat authority grant includes high-privilege actions alongside low-privilege ones. Whether separating</w:t>
      </w:r>
      <w:r>
        <w:t xml:space="preserve"> </w:t>
      </w:r>
      <w:r>
        <w:rPr>
          <w:rStyle w:val="VerbatimChar"/>
        </w:rPr>
        <w:t xml:space="preserve">send_email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delete_record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execute_tool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batch_execute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transmit_external</w:t>
      </w:r>
      <w:r>
        <w:t xml:space="preserve"> </w:t>
      </w:r>
      <w:r>
        <w:t xml:space="preserve">into narrower capability grants reduces unintended authorization is a separate research question.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Adversarial scale.</w:t>
      </w:r>
      <w:r>
        <w:t xml:space="preserve"> </w:t>
      </w:r>
      <w:r>
        <w:t xml:space="preserve">12 cases is sufficient for a first demonstration. It is not sufficient to claim the IntentMatch primitive is generally robust. Future experiments should attempt to break it with harder cases.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Natural-language intent extraction.</w:t>
      </w:r>
      <w:r>
        <w:t xml:space="preserve"> </w:t>
      </w:r>
      <w:r>
        <w:t xml:space="preserve">All experiments so far use a pre-normalized IntentContract. Whether intent can be reliably extracted from natural-language authorization in production environments is a separate and harder problem.</w:t>
      </w:r>
    </w:p>
    <w:p>
      <w:r>
        <w:pict>
          <v:rect style="width:0;height:1.5pt" o:hralign="center" o:hrstd="t" o:hr="t"/>
        </w:pict>
      </w:r>
    </w:p>
    <w:bookmarkEnd w:id="30"/>
    <w:bookmarkStart w:id="31" w:name="preserved-summary-sentences"/>
    <w:p>
      <w:pPr>
        <w:pStyle w:val="Heading2"/>
      </w:pPr>
      <w:r>
        <w:t xml:space="preserve">Preserved Summary Sentences</w:t>
      </w:r>
    </w:p>
    <w:p>
      <w:pPr>
        <w:pStyle w:val="FirstParagraph"/>
      </w:pPr>
      <w:r>
        <w:rPr>
          <w:bCs/>
          <w:b/>
        </w:rPr>
        <w:t xml:space="preserve">IB-001: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IB-001 failed at the pipeline level while isolating a distinct upstream authority-normalization defect; the IntentMatch primitive correctly classified all 12 preregistered cases in this test set.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IB-002: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IB-002 failed at the experiment level (K3 triggered) while demonstrating that, within the 18 preregistered IB-002 cases, the normalization function produced zero observed privilege expansions, resolved all six legitimate aliases, and rejected all six near-neighbor attacks; the failure isolated a test-design conflation between normalization safety and authority-grant breadth.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IB-003: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IB-003 passed with a strong positive result (12/12) after applying the preregistered authority-normalization remediation to the original IB-001 pipeline; the two false blocks (C02, C03) were resolved, all eight semantic-drift detections were preserved, and zero privilege expansions were detected — within this preregistered test set of 12 cases.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1"/>
    <w:bookmarkStart w:id="32" w:name="files"/>
    <w:p>
      <w:pPr>
        <w:pStyle w:val="Heading2"/>
      </w:pPr>
      <w:r>
        <w:t xml:space="preserve">Files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PREREGISTRATION.md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d6f788f46c05da853a2ebaefa59ef1c69863e3d3d810d44c739c64dae5fb7d8b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run_ib003.py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c1f3ca2d27bd0c5538b00babd620bc0df86012eda41545ff5c7ba51064f0b306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results/ib003_results.json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c0ebc1058532ba4e05013243d1196e5d1cec4d415c367c08cbe8512d5a059d26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results/proofrecord_ib003.json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699edb4253dd1a9bac91e3219d53e50abf80e2c9bdd1df40f2a9ca223320e562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results/ib003_ledger.jsonl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abcc512a40793b4945676c688675a87f3fc0f83d6bea4ea29cd440503d79bd3c</w:t>
            </w:r>
          </w:p>
        </w:tc>
      </w:tr>
    </w:tbl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2026-08-16T03:05:43Z</dcterms:created>
  <dcterms:modified xsi:type="dcterms:W3CDTF">2026-08-16T03:05:43Z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