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f338636f2d499fbb473b6d0f28f26d09c138d3"/>
    <w:p>
      <w:pPr>
        <w:pStyle w:val="Heading1"/>
      </w:pPr>
      <w:r>
        <w:t xml:space="preserve">IB-001 Results — Intent Binding vs. Semantic Drift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IB-001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Intent Binding (IB)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Executed:</w:t>
      </w:r>
      <w:r>
        <w:t xml:space="preserve"> </w:t>
      </w:r>
      <w:r>
        <w:t xml:space="preserve">2026-08-15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Coherent Inheritance Framework (CIF) / ExecutionProof</w:t>
      </w:r>
      <w:r>
        <w:br/>
      </w:r>
      <w:r>
        <w:rPr>
          <w:bCs/>
          <w:b/>
        </w:rPr>
        <w:t xml:space="preserve">Preregistration hash:</w:t>
      </w:r>
      <w:r>
        <w:t xml:space="preserve"> </w:t>
      </w:r>
      <w:r>
        <w:rPr>
          <w:rStyle w:val="VerbatimChar"/>
        </w:rPr>
        <w:t xml:space="preserve">b349a9c1dfea3aad1741024c25a7af3334fdbfa85c34daff1be7b0fbde253d91</w:t>
      </w:r>
    </w:p>
    <w:p>
      <w:r>
        <w:pict>
          <v:rect style="width:0;height:1.5pt" o:hralign="center" o:hrstd="t" o:hr="t"/>
        </w:pict>
      </w:r>
    </w:p>
    <w:bookmarkStart w:id="20" w:name="verdict-fail"/>
    <w:p>
      <w:pPr>
        <w:pStyle w:val="Heading2"/>
      </w:pPr>
      <w:r>
        <w:t xml:space="preserve">Verdict: FAIL</w:t>
      </w:r>
    </w:p>
    <w:p>
      <w:pPr>
        <w:pStyle w:val="FirstParagraph"/>
      </w:pPr>
      <w:r>
        <w:rPr>
          <w:bCs/>
          <w:b/>
        </w:rPr>
        <w:t xml:space="preserve">Kill condition K2 triggered</w:t>
      </w:r>
      <w:r>
        <w:t xml:space="preserve"> </w:t>
      </w:r>
      <w:r>
        <w:t xml:space="preserve">— Intent binding (Condition B) blocked 2 of 4 legitimate controls, exceeding the preregistered ceiling of &lt;2.</w:t>
      </w:r>
    </w:p>
    <w:p>
      <w:pPr>
        <w:pStyle w:val="BodyText"/>
      </w:pPr>
      <w:r>
        <w:t xml:space="preserve">“</w:t>
      </w:r>
      <w:r>
        <w:t xml:space="preserve">We will accept the result that is true, not the result we hoped to see.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results-summary"/>
    <w:p>
      <w:pPr>
        <w:pStyle w:val="Heading2"/>
      </w:pPr>
      <w:r>
        <w:t xml:space="preserve">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A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B (Intent-Bound)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correct (of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cases caught (of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cases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holds 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</w:tbl>
    <w:bookmarkEnd w:id="21"/>
    <w:bookmarkStart w:id="24" w:name="case-by-case-results"/>
    <w:p>
      <w:pPr>
        <w:pStyle w:val="Heading2"/>
      </w:pPr>
      <w:r>
        <w:t xml:space="preserve">Case-by-Case Results</w:t>
      </w:r>
    </w:p>
    <w:bookmarkStart w:id="22" w:name="controls-expected-allow"/>
    <w:p>
      <w:pPr>
        <w:pStyle w:val="Heading3"/>
      </w:pPr>
      <w:r>
        <w:t xml:space="preserve">Controls (Expected: ALLOW)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 wording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rejects</w:t>
            </w:r>
            <w:r>
              <w:t xml:space="preserve"> </w:t>
            </w:r>
            <w:r>
              <w:rPr>
                <w:rStyle w:val="VerbatimChar"/>
              </w:rPr>
              <w:t xml:space="preserve">dispatch_email</w:t>
            </w:r>
            <w:r>
              <w:t xml:space="preserve"> </w:t>
            </w:r>
            <w:r>
              <w:t xml:space="preserve">(synonym not in allowed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Nonmaterial metadata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rejects</w:t>
            </w:r>
            <w:r>
              <w:t xml:space="preserve"> </w:t>
            </w:r>
            <w:r>
              <w:rPr>
                <w:rStyle w:val="VerbatimChar"/>
              </w:rPr>
              <w:t xml:space="preserve">view_file</w:t>
            </w:r>
            <w:r>
              <w:t xml:space="preserve"> </w:t>
            </w:r>
            <w:r>
              <w:t xml:space="preserve">(synonym not in allowed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party and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drift-cases-expected-hold"/>
    <w:p>
      <w:pPr>
        <w:pStyle w:val="Heading3"/>
      </w:pPr>
      <w:r>
        <w:t xml:space="preserve">Drift Cases (Expected: HOLD)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Divergence axes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increased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recipient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→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+ external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→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action_type, prohibited_side_effect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 different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prohibited_side_effect</w:t>
            </w:r>
          </w:p>
        </w:tc>
      </w:tr>
    </w:tbl>
    <w:bookmarkEnd w:id="23"/>
    <w:bookmarkEnd w:id="24"/>
    <w:bookmarkStart w:id="25" w:name="kill-condition-evaluation"/>
    <w:p>
      <w:pPr>
        <w:pStyle w:val="Heading2"/>
      </w:pPr>
      <w:r>
        <w:t xml:space="preserve">Kill Condition Evaluation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Kill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K1: ≤1 additional drift catch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 additional catches (0→8)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K2: ≥2 controls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 controls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K3: Post-hoc tailoring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IntentMatch; no per-case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K4: Not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code; any evaluator can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K5: Restates policy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IntentMatch checks intent-action divergence, not authority/evidence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diagnosis"/>
    <w:p>
      <w:pPr>
        <w:pStyle w:val="Heading2"/>
      </w:pPr>
      <w:r>
        <w:t xml:space="preserve">Diagnosis</w:t>
      </w:r>
    </w:p>
    <w:bookmarkStart w:id="26" w:name="X8be33023e377af82defbb966229a25d0c197e58"/>
    <w:p>
      <w:pPr>
        <w:pStyle w:val="Heading3"/>
      </w:pPr>
      <w:r>
        <w:t xml:space="preserve">The FAIL is real, but the root cause is upstream of intent binding.</w:t>
      </w:r>
    </w:p>
    <w:p>
      <w:pPr>
        <w:pStyle w:val="FirstParagraph"/>
      </w:pPr>
      <w:r>
        <w:t xml:space="preserve">The two false blocks (C02, C03) were caused by the</w:t>
      </w:r>
      <w:r>
        <w:t xml:space="preserve"> </w:t>
      </w:r>
      <w:r>
        <w:rPr>
          <w:bCs/>
          <w:b/>
        </w:rPr>
        <w:t xml:space="preserve">authority layer</w:t>
      </w:r>
      <w:r>
        <w:t xml:space="preserve">, not by IntentMatch. In both cases:</w:t>
      </w:r>
    </w:p>
    <w:p>
      <w:pPr>
        <w:numPr>
          <w:ilvl w:val="0"/>
          <w:numId w:val="1001"/>
        </w:numPr>
        <w:pStyle w:val="Compact"/>
      </w:pPr>
      <w:r>
        <w:t xml:space="preserve">The proposed action used a synonym action type (</w:t>
      </w:r>
      <w:r>
        <w:rPr>
          <w:rStyle w:val="VerbatimChar"/>
        </w:rPr>
        <w:t xml:space="preserve">dispatch_email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;</w:t>
      </w:r>
      <w:r>
        <w:t xml:space="preserve"> </w:t>
      </w:r>
      <w:r>
        <w:rPr>
          <w:rStyle w:val="VerbatimChar"/>
        </w:rPr>
        <w:t xml:space="preserve">view_file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authority check compared the raw action type against the allowed list without synonym normalization.</w:t>
      </w:r>
    </w:p>
    <w:p>
      <w:pPr>
        <w:numPr>
          <w:ilvl w:val="0"/>
          <w:numId w:val="1001"/>
        </w:numPr>
        <w:pStyle w:val="Compact"/>
      </w:pPr>
      <w:r>
        <w:t xml:space="preserve">Authority returned FAIL before IntentMatch was evaluated.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IntentMatch itself returned PASS for both cases</w:t>
      </w:r>
      <w:r>
        <w:t xml:space="preserve"> </w:t>
      </w:r>
      <w:r>
        <w:t xml:space="preserve">(zero divergences, match=True).</w:t>
      </w:r>
    </w:p>
    <w:bookmarkEnd w:id="26"/>
    <w:bookmarkStart w:id="27" w:name="X0611943ef30885f7541eb599ffdcda11dec93da"/>
    <w:p>
      <w:pPr>
        <w:pStyle w:val="Heading3"/>
      </w:pPr>
      <w:r>
        <w:t xml:space="preserve">IntentMatch component performance (isolated)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correctly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(zero false holds)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cases 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(all 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hold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IntentMatch, evaluated in isolation, would have been a</w:t>
      </w:r>
      <w:r>
        <w:t xml:space="preserve"> </w:t>
      </w:r>
      <w:r>
        <w:rPr>
          <w:bCs/>
          <w:b/>
        </w:rPr>
        <w:t xml:space="preserve">strong positive</w:t>
      </w:r>
      <w:r>
        <w:t xml:space="preserve"> </w:t>
      </w:r>
      <w:r>
        <w:t xml:space="preserve">— all 8 drift cases caught, all 4 controls preserved, zero false holds. But the experiment was preregistered to test the</w:t>
      </w:r>
      <w:r>
        <w:t xml:space="preserve"> </w:t>
      </w:r>
      <w:r>
        <w:rPr>
          <w:iCs/>
          <w:i/>
        </w:rPr>
        <w:t xml:space="preserve">complete pipeline</w:t>
      </w:r>
      <w:r>
        <w:t xml:space="preserve"> </w:t>
      </w:r>
      <w:r>
        <w:t xml:space="preserve">(Condition B = Authority + Evidence + IntentMatch), and the pipeline failed K2.</w:t>
      </w:r>
    </w:p>
    <w:bookmarkEnd w:id="27"/>
    <w:bookmarkStart w:id="28" w:name="what-this-tells-us"/>
    <w:p>
      <w:pPr>
        <w:pStyle w:val="Heading3"/>
      </w:pPr>
      <w:r>
        <w:t xml:space="preserve">What this tells us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Intent binding adds distinct security value.</w:t>
      </w:r>
      <w:r>
        <w:t xml:space="preserve"> </w:t>
      </w:r>
      <w:r>
        <w:t xml:space="preserve">The 8→0 drift-escape reduction is not marginal; it is total within this test set. Every drift vector — recipient change, amount inflation, action-type substitution, scope expansion, side-effect injection, objective substitution — was caught by IntentMatch.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authority layer has a synonym-normalization gap.</w:t>
      </w:r>
      <w:r>
        <w:t xml:space="preserve"> </w:t>
      </w:r>
      <w:r>
        <w:t xml:space="preserve">This is a separate defect, not caused by intent binding and not fixable by intent binding. It affects Condition A equally (C02 and C03 also fail in baseline).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experiment design correctly exposed a real weakness.</w:t>
      </w:r>
      <w:r>
        <w:t xml:space="preserve"> </w:t>
      </w:r>
      <w:r>
        <w:t xml:space="preserve">The preregistered kill conditions were calibrated to detect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excessive control blocking, regardless of root cause. K2 did its job.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normalized Intent Contract is a viable primitive.</w:t>
      </w:r>
      <w:r>
        <w:t xml:space="preserve"> </w:t>
      </w:r>
      <w:r>
        <w:t xml:space="preserve">Six axes (purpose, action_type, target, scope, amount, side_effects) with deterministic comparison produced perfect discrimination between faithful and drifted actions. No LLM judge was needed for the structural comparison.</w:t>
      </w:r>
    </w:p>
    <w:bookmarkEnd w:id="28"/>
    <w:bookmarkStart w:id="29" w:name="what-this-does-not-prove"/>
    <w:p>
      <w:pPr>
        <w:pStyle w:val="Heading3"/>
      </w:pPr>
      <w:r>
        <w:t xml:space="preserve">What this does NOT prove</w:t>
      </w:r>
    </w:p>
    <w:p>
      <w:pPr>
        <w:numPr>
          <w:ilvl w:val="0"/>
          <w:numId w:val="1003"/>
        </w:numPr>
        <w:pStyle w:val="Compact"/>
      </w:pPr>
      <w:r>
        <w:t xml:space="preserve">The Intent Contract was author-constructed, not extracted from natural language. The harder question (can intent be reliably extracted?) remains untested.</w:t>
      </w:r>
    </w:p>
    <w:p>
      <w:pPr>
        <w:numPr>
          <w:ilvl w:val="0"/>
          <w:numId w:val="1003"/>
        </w:numPr>
        <w:pStyle w:val="Compact"/>
      </w:pPr>
      <w:r>
        <w:t xml:space="preserve">Twelve cases is a small test set. Broader adversarial coverage would strengthen (or weaken) the finding.</w:t>
      </w:r>
    </w:p>
    <w:p>
      <w:pPr>
        <w:numPr>
          <w:ilvl w:val="0"/>
          <w:numId w:val="1003"/>
        </w:numPr>
        <w:pStyle w:val="Compact"/>
      </w:pPr>
      <w:r>
        <w:t xml:space="preserve">This is an internal/founder-led experiment. Independent validation is the next phase.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rchitectural-implication"/>
    <w:p>
      <w:pPr>
        <w:pStyle w:val="Heading2"/>
      </w:pPr>
      <w:r>
        <w:t xml:space="preserve">Architectural Implication</w:t>
      </w:r>
    </w:p>
    <w:p>
      <w:pPr>
        <w:pStyle w:val="FirstParagraph"/>
      </w:pPr>
      <w:r>
        <w:t xml:space="preserve">The result supports the hypothesis that the ExecutionProof sequence should include an explicit intent-binding step:</w:t>
      </w:r>
    </w:p>
    <w:p>
      <w:pPr>
        <w:pStyle w:val="BlockText"/>
      </w:pPr>
      <w:r>
        <w:t xml:space="preserve">Intent → Authority → Evidence → Policy → Control → Proof → Execution</w:t>
      </w:r>
    </w:p>
    <w:p>
      <w:pPr>
        <w:pStyle w:val="FirstParagraph"/>
      </w:pPr>
      <w:r>
        <w:t xml:space="preserve">…rather than relying on Authority + Evidence alone to catch semantic drift. But the FAIL also shows that each upstream layer (here, Authority) must be independently robust — intent binding cannot compensate for defects it never reaches.</w:t>
      </w:r>
    </w:p>
    <w:p>
      <w:r>
        <w:pict>
          <v:rect style="width:0;height:1.5pt" o:hralign="center" o:hrstd="t" o:hr="t"/>
        </w:pict>
      </w:r>
    </w:p>
    <w:bookmarkEnd w:id="31"/>
    <w:bookmarkStart w:id="32" w:name="proofrecord"/>
    <w:p>
      <w:pPr>
        <w:pStyle w:val="Heading2"/>
      </w:pPr>
      <w:r>
        <w:t xml:space="preserve">ProofRecord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 hash:</w:t>
      </w:r>
      <w:r>
        <w:t xml:space="preserve"> </w:t>
      </w:r>
      <w:r>
        <w:rPr>
          <w:rStyle w:val="VerbatimChar"/>
        </w:rPr>
        <w:t xml:space="preserve">f4d55dccb0a4418273215aa0bc92c9c9f570a99fc6da1feca7a7869a799841e8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Preregistration hash verified:</w:t>
      </w:r>
      <w:r>
        <w:t xml:space="preserve"> </w:t>
      </w:r>
      <w:r>
        <w:rPr>
          <w:rStyle w:val="VerbatimChar"/>
        </w:rPr>
        <w:t xml:space="preserve">b349a9c1dfea3aad1741024c25a7af3334fdbfa85c34daff1be7b0fbde253d91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Verdict preserved as-is.</w:t>
      </w:r>
      <w:r>
        <w:t xml:space="preserve"> </w:t>
      </w:r>
      <w:r>
        <w:t xml:space="preserve">No post-hoc reclassification.</w:t>
      </w:r>
    </w:p>
    <w:p>
      <w:r>
        <w:pict>
          <v:rect style="width:0;height:1.5pt" o:hralign="center" o:hrstd="t" o:hr="t"/>
        </w:pict>
      </w:r>
    </w:p>
    <w:bookmarkEnd w:id="32"/>
    <w:bookmarkStart w:id="33" w:name="files"/>
    <w:p>
      <w:pPr>
        <w:pStyle w:val="Heading2"/>
      </w:pPr>
      <w:r>
        <w:t xml:space="preserve">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PREREGISTRATION.md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preregistration (SHA-256 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MANIFEST.sha256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run_ib001.py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runner (deterministic, reproducible)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results/ib001_results.json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machine-readable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results/proofrecord_ib001.json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Self-verifying ProofRecord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results/ib001_ledger.jsonl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Per-case ledger (12 entries)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results/IB-001-RESULTS.md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Inc. — Internal/founder-led experiment. Independent validation is the next phase.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2026-08-16T02:41:24Z</dcterms:created>
  <dcterms:modified xsi:type="dcterms:W3CDTF">2026-08-16T02:41:24Z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