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70f253d25d513c6847e3f16bd4af3cdd1537e0"/>
    <w:p>
      <w:pPr>
        <w:pStyle w:val="Heading1"/>
      </w:pPr>
      <w:r>
        <w:t xml:space="preserve">ARK-451 — Authority Revocation During Execution</w:t>
      </w:r>
    </w:p>
    <w:bookmarkStart w:id="20" w:name="results-recorded-as-executed"/>
    <w:p>
      <w:pPr>
        <w:pStyle w:val="Heading2"/>
      </w:pPr>
      <w:r>
        <w:t xml:space="preserve">RESULTS (recorded as executed)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ARK-451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br/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br/>
      </w:r>
      <w:r>
        <w:rPr>
          <w:bCs/>
          <w:b/>
        </w:rPr>
        <w:t xml:space="preserve">Execution window:</w:t>
      </w:r>
      <w:r>
        <w:t xml:space="preserve"> </w:t>
      </w:r>
      <w:r>
        <w:t xml:space="preserve">2026-07-17T20:04:21Z to 2026-07-17T20:04:22Z (UTC)</w:t>
      </w:r>
      <w:r>
        <w:br/>
      </w: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ARK-451 tested whether an independent execution monitor correctly honors an authorization’s</w:t>
      </w:r>
      <w:r>
        <w:t xml:space="preserve"> </w:t>
      </w:r>
      <w:r>
        <w:rPr>
          <w:bCs/>
          <w:b/>
        </w:rPr>
        <w:t xml:space="preserve">lifecycle in time</w:t>
      </w:r>
      <w:r>
        <w:t xml:space="preserve"> </w:t>
      </w:r>
      <w:r>
        <w:t xml:space="preserve">— specifically, whether authority that is</w:t>
      </w:r>
      <w:r>
        <w:t xml:space="preserve"> </w:t>
      </w:r>
      <w:r>
        <w:rPr>
          <w:bCs/>
          <w:b/>
        </w:rPr>
        <w:t xml:space="preserve">revoked before the moment of execution</w:t>
      </w:r>
      <w:r>
        <w:t xml:space="preserve"> </w:t>
      </w:r>
      <w:r>
        <w:t xml:space="preserve">is refused, authority that is</w:t>
      </w:r>
      <w:r>
        <w:t xml:space="preserve"> </w:t>
      </w:r>
      <w:r>
        <w:rPr>
          <w:bCs/>
          <w:b/>
        </w:rPr>
        <w:t xml:space="preserve">still valid</w:t>
      </w:r>
      <w:r>
        <w:t xml:space="preserve"> </w:t>
      </w:r>
      <w:r>
        <w:t xml:space="preserve">(never revoked, revoked only after execution, or revoked-then-reauthorized) is permitted, and authority whose revocation is</w:t>
      </w:r>
      <w:r>
        <w:t xml:space="preserve"> </w:t>
      </w:r>
      <w:r>
        <w:rPr>
          <w:bCs/>
          <w:b/>
        </w:rPr>
        <w:t xml:space="preserve">in flight at the moment of execution</w:t>
      </w:r>
      <w:r>
        <w:t xml:space="preserve"> </w:t>
      </w:r>
      <w:r>
        <w:t xml:space="preserve">is safely held rather than guessed.</w:t>
      </w:r>
    </w:p>
    <w:p>
      <w:pPr>
        <w:pStyle w:val="BodyText"/>
      </w:pPr>
      <w:r>
        <w:rPr>
          <w:bCs/>
          <w:b/>
        </w:rPr>
        <w:t xml:space="preserve">Question:</w:t>
      </w:r>
      <w:r>
        <w:t xml:space="preserve"> </w:t>
      </w:r>
      <w:r>
        <w:t xml:space="preserve">When authority is revoked at some point in the decision→bind→execution lifecycle, does an independent monitor evaluated</w:t>
      </w:r>
      <w:r>
        <w:t xml:space="preserve"> </w:t>
      </w:r>
      <w:r>
        <w:rPr>
          <w:iCs/>
          <w:i/>
        </w:rPr>
        <w:t xml:space="preserve">at the moment of execution</w:t>
      </w:r>
      <w:r>
        <w:t xml:space="preserve"> </w:t>
      </w:r>
      <w:r>
        <w:t xml:space="preserve">make the timing-correct decision — DENY if revocation is effective, ALLOW if authority is valid at execution, HOLD if revocation is propagating but not yet effective?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Both independently implemented monitors (V1 JavaScript, V2 Python) produced the timing-correct decision on all 800 evaluation decisions, with 100% mutual agreement. Fresh authority was allowed, revoked authority was denied (fail-closed), and in-flight revocations were held (fail-safe) with perfect separation.</w:t>
      </w:r>
    </w:p>
    <w:p>
      <w:r>
        <w:pict>
          <v:rect style="width:0;height:1.5pt" o:hralign="center" o:hrstd="t" o:hr="t"/>
        </w:pict>
      </w:r>
    </w:p>
    <w:bookmarkEnd w:id="21"/>
    <w:bookmarkStart w:id="22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</w:p>
    <w:p>
      <w:pPr>
        <w:pStyle w:val="BodyText"/>
      </w:pPr>
      <w:r>
        <w:rPr>
          <w:bCs/>
          <w:b/>
        </w:rPr>
        <w:t xml:space="preserve">Lifecycle model:</w:t>
      </w:r>
      <w:r>
        <w:t xml:space="preserve"> </w:t>
      </w:r>
      <w:r>
        <w:t xml:space="preserve">Each scenario places the authorization on a monotonic time axis with</w:t>
      </w:r>
      <w:r>
        <w:t xml:space="preserve"> </w:t>
      </w:r>
      <w:r>
        <w:rPr>
          <w:rStyle w:val="VerbatimChar"/>
        </w:rPr>
        <w:t xml:space="preserve">t_decision ≤ t_bind ≤ t_execution</w:t>
      </w:r>
      <w:r>
        <w:t xml:space="preserve">. A scenario may carry an optional</w:t>
      </w:r>
      <w:r>
        <w:t xml:space="preserve"> </w:t>
      </w:r>
      <w:r>
        <w:rPr>
          <w:rStyle w:val="VerbatimChar"/>
        </w:rPr>
        <w:t xml:space="preserve">revocation{t_revoke, propagation_delay, reason}</w:t>
      </w:r>
      <w:r>
        <w:t xml:space="preserve"> </w:t>
      </w:r>
      <w:r>
        <w:t xml:space="preserve">(effective at</w:t>
      </w:r>
      <w:r>
        <w:t xml:space="preserve"> </w:t>
      </w:r>
      <w:r>
        <w:rPr>
          <w:rStyle w:val="VerbatimChar"/>
        </w:rPr>
        <w:t xml:space="preserve">eff = t_revoke + propagation_delay</w:t>
      </w:r>
      <w:r>
        <w:t xml:space="preserve">) and an optional</w:t>
      </w:r>
      <w:r>
        <w:t xml:space="preserve"> </w:t>
      </w:r>
      <w:r>
        <w:rPr>
          <w:rStyle w:val="VerbatimChar"/>
        </w:rPr>
        <w:t xml:space="preserve">reauthorization{t_reauth, valid}</w:t>
      </w:r>
      <w:r>
        <w:t xml:space="preserve">. The monitor is evaluated</w:t>
      </w:r>
      <w:r>
        <w:t xml:space="preserve"> </w:t>
      </w:r>
      <w:r>
        <w:rPr>
          <w:bCs/>
          <w:b/>
        </w:rPr>
        <w:t xml:space="preserve">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t_execution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Decision procedure (both monitors, evaluated at t_execution):</w:t>
      </w:r>
      <w:r>
        <w:t xml:space="preserve"> </w:t>
      </w:r>
      <w:r>
        <w:t xml:space="preserve">1. No revocation present 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2. Compute</w:t>
      </w:r>
      <w:r>
        <w:t xml:space="preserve"> </w:t>
      </w:r>
      <w:r>
        <w:rPr>
          <w:rStyle w:val="VerbatimChar"/>
        </w:rPr>
        <w:t xml:space="preserve">eff = t_revoke + propagation_delay</w:t>
      </w:r>
      <w:r>
        <w:t xml:space="preserve"> </w:t>
      </w:r>
      <w:r>
        <w:t xml:space="preserve">3. Valid reauthorization with</w:t>
      </w:r>
      <w:r>
        <w:t xml:space="preserve"> </w:t>
      </w:r>
      <w:r>
        <w:rPr>
          <w:rStyle w:val="VerbatimChar"/>
        </w:rPr>
        <w:t xml:space="preserve">t_revoke &lt; t_reauth ≤ t_execution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4. Revocation effective at execution (</w:t>
      </w:r>
      <w:r>
        <w:rPr>
          <w:rStyle w:val="VerbatimChar"/>
        </w:rPr>
        <w:t xml:space="preserve">eff ≤ t_execution</w:t>
      </w:r>
      <w:r>
        <w:t xml:space="preserve">) →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(fail closed)</w:t>
      </w:r>
      <w:r>
        <w:t xml:space="preserve"> </w:t>
      </w:r>
      <w:r>
        <w:t xml:space="preserve">5. Revocation initiated but not yet effective (</w:t>
      </w:r>
      <w:r>
        <w:rPr>
          <w:rStyle w:val="VerbatimChar"/>
        </w:rPr>
        <w:t xml:space="preserve">t_revoke ≤ t_execution &lt; eff</w:t>
      </w:r>
      <w:r>
        <w:t xml:space="preserve">) →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(in-flight, fail safe)</w:t>
      </w:r>
      <w:r>
        <w:t xml:space="preserve"> </w:t>
      </w:r>
      <w:r>
        <w:t xml:space="preserve">6. Revocation initiated after execution (</w:t>
      </w:r>
      <w:r>
        <w:rPr>
          <w:rStyle w:val="VerbatimChar"/>
        </w:rPr>
        <w:t xml:space="preserve">t_revoke &gt; t_execution</w:t>
      </w:r>
      <w:r>
        <w:t xml:space="preserve">) →</w:t>
      </w:r>
      <w:r>
        <w:t xml:space="preserve"> </w:t>
      </w:r>
      <w:r>
        <w:rPr>
          <w:bCs/>
          <w:b/>
        </w:rPr>
        <w:t xml:space="preserve">ALLOW</w:t>
      </w:r>
    </w:p>
    <w:p>
      <w:pPr>
        <w:pStyle w:val="BodyText"/>
      </w:pPr>
      <w:r>
        <w:rPr>
          <w:bCs/>
          <w:b/>
        </w:rPr>
        <w:t xml:space="preserve">Arms:</w:t>
      </w:r>
      <w:r>
        <w:t xml:space="preserve"> </w:t>
      </w:r>
      <w:r>
        <w:t xml:space="preserve">| Arm | Label | Configuration | Expected |</w:t>
      </w:r>
      <w:r>
        <w:t xml:space="preserve"> </w:t>
      </w:r>
      <w:r>
        <w:t xml:space="preserve">|—–|——-|—————|———-|</w:t>
      </w:r>
      <w:r>
        <w:t xml:space="preserve"> </w:t>
      </w:r>
      <w:r>
        <w:t xml:space="preserve">| 1 | VALID-throughout | No revocation; valid across full lifecycle | ALLOW |</w:t>
      </w:r>
      <w:r>
        <w:t xml:space="preserve"> </w:t>
      </w:r>
      <w:r>
        <w:t xml:space="preserve">| 2 | REVOKED-before-bind | Revocation effective before bind (well before execution) | DENY |</w:t>
      </w:r>
      <w:r>
        <w:t xml:space="preserve"> </w:t>
      </w:r>
      <w:r>
        <w:t xml:space="preserve">| 3 | REVOKED-after-decision-before-contact | Revocation effective after decision but before execution | DENY |</w:t>
      </w:r>
      <w:r>
        <w:t xml:space="preserve"> </w:t>
      </w:r>
      <w:r>
        <w:t xml:space="preserve">| 4 | REVOKED-during-multistep | Revocation effective mid multi-step execution window | DENY |</w:t>
      </w:r>
      <w:r>
        <w:t xml:space="preserve"> </w:t>
      </w:r>
      <w:r>
        <w:t xml:space="preserve">| 5 | IN-FLIGHT-at-contact | Revocation initiated, propagating, not yet effective at execution | HOLD |</w:t>
      </w:r>
      <w:r>
        <w:t xml:space="preserve"> </w:t>
      </w:r>
      <w:r>
        <w:t xml:space="preserve">| 6 | REVOKED-then-REAUTHORIZED | Revoked then validly reauthorized before execution | ALLOW |</w:t>
      </w:r>
      <w:r>
        <w:t xml:space="preserve"> </w:t>
      </w:r>
      <w:r>
        <w:t xml:space="preserve">| 7 | IN-FLIGHT-boundary | In-flight revocation at the propagation boundary at execution | HOLD |</w:t>
      </w:r>
      <w:r>
        <w:t xml:space="preserve"> </w:t>
      </w:r>
      <w:r>
        <w:t xml:space="preserve">| 8 | REVOKED-after-execution | Revocation initiated only after execution completes | ALLOW |</w:t>
      </w:r>
    </w:p>
    <w:p>
      <w:pPr>
        <w:pStyle w:val="BodyText"/>
      </w:pPr>
      <w:r>
        <w:t xml:space="preserve">ALLOW arms = {1, 6, 8}; DENY arms = {2, 3, 4}; HOLD arms = {5, 7}.</w:t>
      </w:r>
    </w:p>
    <w:p>
      <w:r>
        <w:pict>
          <v:rect style="width:0;height:1.5pt" o:hralign="center" o:hrstd="t" o:hr="t"/>
        </w:pict>
      </w:r>
    </w:p>
    <w:bookmarkEnd w:id="22"/>
    <w:bookmarkStart w:id="25" w:name="primary-results"/>
    <w:p>
      <w:pPr>
        <w:pStyle w:val="Heading2"/>
      </w:pPr>
      <w:r>
        <w:t xml:space="preserve">Primary Results</w:t>
      </w:r>
    </w:p>
    <w:bookmarkStart w:id="23" w:name="pass-criteria-preregistered"/>
    <w:p>
      <w:pPr>
        <w:pStyle w:val="Heading3"/>
      </w:pPr>
      <w:r>
        <w:t xml:space="preserve">Pass Criteria (preregistered)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g_allow_valid_min</w:t>
      </w:r>
      <w:r>
        <w:t xml:space="preserve"> </w:t>
      </w:r>
      <w:r>
        <w:t xml:space="preserve">= minimum ALLOW rate across ALLOW arms {1, 6, 8}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g_deny_revoked_min</w:t>
      </w:r>
      <w:r>
        <w:t xml:space="preserve"> </w:t>
      </w:r>
      <w:r>
        <w:t xml:space="preserve">= minimum DENY rate across DENY arms {2, 3, 4}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g_hold_inflight_min</w:t>
      </w:r>
      <w:r>
        <w:t xml:space="preserve"> </w:t>
      </w:r>
      <w:r>
        <w:t xml:space="preserve">= minimum HOLD rate across HOLD arms {5, 7}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min(g_allow_valid_min, g_deny_revoked_min, g_hold_inflight_min) − 0.05</w:t>
      </w:r>
    </w:p>
    <w:p>
      <w:pPr>
        <w:pStyle w:val="BodyText"/>
      </w:pPr>
      <w:r>
        <w:rPr>
          <w:bCs/>
          <w:b/>
        </w:rP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g_allow_valid_min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g_deny_revoked_min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g_hold_inflight_min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C4:</w:t>
      </w:r>
      <w:r>
        <w:t xml:space="preserve"> </w:t>
      </w:r>
      <w:r>
        <w:t xml:space="preserve">g_margin ≥ 0.90</w:t>
      </w:r>
    </w:p>
    <w:bookmarkEnd w:id="23"/>
    <w:bookmarkStart w:id="24" w:name="measured-values"/>
    <w:p>
      <w:pPr>
        <w:pStyle w:val="Heading3"/>
      </w:pPr>
      <w:r>
        <w:t xml:space="preserve">Measured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g_allow_valid_min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g_deny_revoked_min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g_hold_inflight_min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four criteria met.</w:t>
      </w:r>
      <w:r>
        <w:t xml:space="preserve"> </w:t>
      </w: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-arm-results"/>
    <w:p>
      <w:pPr>
        <w:pStyle w:val="Heading2"/>
      </w:pPr>
      <w:r>
        <w:t xml:space="preserve">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924"/>
        <w:gridCol w:w="1320"/>
        <w:gridCol w:w="924"/>
        <w:gridCol w:w="792"/>
        <w:gridCol w:w="792"/>
        <w:gridCol w:w="2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V1–V2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VALID-throughout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REVOKED-before-bind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REVOKED-after-decision-before-contact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REVOKED-during-multistep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IN-FLIGHT-at-contact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REVOKED-then-REAUTHORIZED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Valid-authority arms (1, 6, 8): ALLOW 100% — permits when authority is genuinely valid at execution, including correct handling of reauthorization and of revocations that occur only after execution</w:t>
      </w:r>
      <w:r>
        <w:t xml:space="preserve"> </w:t>
      </w:r>
      <w:r>
        <w:t xml:space="preserve">- Revoked arms (2, 3, 4): DENY 100% — refuses (fail-closed) whenever revocation is effective at execution, regardless of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in the lifecycle the revocation landed</w:t>
      </w:r>
      <w:r>
        <w:t xml:space="preserve"> </w:t>
      </w:r>
      <w:r>
        <w:t xml:space="preserve">- In-flight arms (5, 7): HOLD 100% — safely holds (fail-safe) when a revocation is propagating but not yet effective, rather than optimistically allowing or prematurely denying</w:t>
      </w:r>
      <w:r>
        <w:t xml:space="preserve"> </w:t>
      </w:r>
      <w:r>
        <w:t xml:space="preserve">- Perfect separation: no execution proceeded on effectively-revoked authority, and no valid authority was wrongly refused</w:t>
      </w:r>
    </w:p>
    <w:p>
      <w:r>
        <w:pict>
          <v:rect style="width:0;height:1.5pt" o:hralign="center" o:hrstd="t" o:hr="t"/>
        </w:pict>
      </w:r>
    </w:p>
    <w:bookmarkEnd w:id="26"/>
    <w:bookmarkStart w:id="29" w:name="secondary-observations"/>
    <w:p>
      <w:pPr>
        <w:pStyle w:val="Heading2"/>
      </w:pPr>
      <w:r>
        <w:t xml:space="preserve">Secondary Observations</w:t>
      </w:r>
    </w:p>
    <w:bookmarkStart w:id="27" w:name="dual-monitor-concordance"/>
    <w:p>
      <w:pPr>
        <w:pStyle w:val="Heading3"/>
      </w:pPr>
      <w:r>
        <w:t xml:space="preserve">Dual-Monitor Concordance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V1–V2 concordance:</w:t>
      </w:r>
      <w:r>
        <w:t xml:space="preserve"> </w:t>
      </w:r>
      <w:r>
        <w:t xml:space="preserve">100.00% (800/800 agreements)</w:t>
      </w:r>
    </w:p>
    <w:p>
      <w:pPr>
        <w:numPr>
          <w:ilvl w:val="0"/>
          <w:numId w:val="1001"/>
        </w:numPr>
        <w:pStyle w:val="Compact"/>
      </w:pPr>
      <w:r>
        <w:t xml:space="preserve">Both independently written monitors (JavaScript, Python) agreed on every decision across all 800 scenarios</w:t>
      </w:r>
    </w:p>
    <w:p>
      <w:pPr>
        <w:numPr>
          <w:ilvl w:val="0"/>
          <w:numId w:val="1001"/>
        </w:numPr>
        <w:pStyle w:val="Compact"/>
      </w:pPr>
      <w:r>
        <w:t xml:space="preserve">Confirms the time-indexed decision procedure is clear, deterministic, and implementable without ambiguity</w:t>
      </w:r>
    </w:p>
    <w:bookmarkEnd w:id="27"/>
    <w:bookmarkStart w:id="28" w:name="fail-closed-vs.-fail-safe-behavior"/>
    <w:p>
      <w:pPr>
        <w:pStyle w:val="Heading3"/>
      </w:pPr>
      <w:r>
        <w:t xml:space="preserve">Fail-Closed vs. Fail-Safe Behavior</w:t>
      </w:r>
    </w:p>
    <w:p>
      <w:pPr>
        <w:numPr>
          <w:ilvl w:val="0"/>
          <w:numId w:val="1002"/>
        </w:numPr>
        <w:pStyle w:val="Compact"/>
      </w:pPr>
      <w:r>
        <w:t xml:space="preserve">The monitor distinguishes two distinct safety postures: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(fail-closed) when revocation is</w:t>
      </w:r>
      <w:r>
        <w:t xml:space="preserve"> </w:t>
      </w:r>
      <w:r>
        <w:rPr>
          <w:iCs/>
          <w:i/>
        </w:rPr>
        <w:t xml:space="preserve">proven effective</w:t>
      </w:r>
      <w:r>
        <w:t xml:space="preserve"> </w:t>
      </w:r>
      <w:r>
        <w:t xml:space="preserve">at execution, and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(fail-safe) when revocation is</w:t>
      </w:r>
      <w:r>
        <w:t xml:space="preserve"> </w:t>
      </w:r>
      <w:r>
        <w:rPr>
          <w:iCs/>
          <w:i/>
        </w:rPr>
        <w:t xml:space="preserve">known but not yet effective</w:t>
      </w:r>
      <w:r>
        <w:t xml:space="preserve">. Both were exercised at 100% rates in their respective arms, confirming the monitor does not collapse the two into a single conservative response.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ates-and-safeguards"/>
    <w:p>
      <w:pPr>
        <w:pStyle w:val="Heading2"/>
      </w:pPr>
      <w:r>
        <w:t xml:space="preserve">Gates and Safeguards</w:t>
      </w:r>
    </w:p>
    <w:bookmarkStart w:id="30" w:name="kill-gate-calibration"/>
    <w:p>
      <w:pPr>
        <w:pStyle w:val="Heading3"/>
      </w:pPr>
      <w:r>
        <w:t xml:space="preserve">Kill-Gate Calibration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</w:t>
      </w:r>
    </w:p>
    <w:p>
      <w:pPr>
        <w:numPr>
          <w:ilvl w:val="0"/>
          <w:numId w:val="1003"/>
        </w:numPr>
        <w:pStyle w:val="Compact"/>
      </w:pPr>
      <w:r>
        <w:t xml:space="preserve">100 calibration scenarios generated across all 8 arms</w:t>
      </w:r>
    </w:p>
    <w:p>
      <w:pPr>
        <w:numPr>
          <w:ilvl w:val="0"/>
          <w:numId w:val="1003"/>
        </w:numPr>
        <w:pStyle w:val="Compact"/>
      </w:pPr>
      <w:r>
        <w:t xml:space="preserve">Revocation-timing effectiveness gate: all 100 scenarios verified as genuinely encoding their timing class</w:t>
      </w:r>
    </w:p>
    <w:p>
      <w:pPr>
        <w:numPr>
          <w:ilvl w:val="0"/>
          <w:numId w:val="1003"/>
        </w:numPr>
        <w:pStyle w:val="Compact"/>
      </w:pPr>
      <w:r>
        <w:t xml:space="preserve">V1–V2 concordance: 100% (100/100); V2: 37 ALLOW, 24 HOLD, 39 DENY (V1 identical)</w:t>
      </w:r>
    </w:p>
    <w:p>
      <w:pPr>
        <w:numPr>
          <w:ilvl w:val="0"/>
          <w:numId w:val="1003"/>
        </w:numPr>
        <w:pStyle w:val="Compact"/>
      </w:pPr>
      <w:r>
        <w:t xml:space="preserve">Gate threshold: ≥ 99% concordance required to proceed →</w:t>
      </w:r>
      <w:r>
        <w:t xml:space="preserve"> </w:t>
      </w:r>
      <w:r>
        <w:rPr>
          <w:bCs/>
          <w:b/>
        </w:rPr>
        <w:t xml:space="preserve">exceeded</w:t>
      </w:r>
    </w:p>
    <w:bookmarkEnd w:id="30"/>
    <w:bookmarkStart w:id="31" w:name="X693ca3c31df30faf57dddeddce415912cac4758"/>
    <w:p>
      <w:pPr>
        <w:pStyle w:val="Heading3"/>
      </w:pPr>
      <w:r>
        <w:t xml:space="preserve">Revocation-Timing Effectiveness Gate (per arm)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 on all 8 arms</w:t>
      </w:r>
    </w:p>
    <w:p>
      <w:pPr>
        <w:numPr>
          <w:ilvl w:val="0"/>
          <w:numId w:val="1004"/>
        </w:numPr>
        <w:pStyle w:val="Compact"/>
      </w:pPr>
      <w:r>
        <w:t xml:space="preserve">Every scenario in every arm verified by an independent structural oracle (</w:t>
      </w:r>
      <w:r>
        <w:rPr>
          <w:rStyle w:val="VerbatimChar"/>
        </w:rPr>
        <w:t xml:space="preserve">revocation_effective</w:t>
      </w:r>
      <w:r>
        <w:t xml:space="preserve">) to genuinely encode its intended timing relationship (e.g., that a</w:t>
      </w:r>
      <w:r>
        <w:t xml:space="preserve"> </w:t>
      </w:r>
      <w:r>
        <w:t xml:space="preserve">“</w:t>
      </w:r>
      <w:r>
        <w:t xml:space="preserve">revoked-before-execution</w:t>
      </w:r>
      <w:r>
        <w:t xml:space="preserve">”</w:t>
      </w:r>
      <w:r>
        <w:t xml:space="preserve"> </w:t>
      </w:r>
      <w:r>
        <w:t xml:space="preserve">scenario really has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, and an</w:t>
      </w:r>
      <w:r>
        <w:t xml:space="preserve"> </w:t>
      </w:r>
      <w:r>
        <w:t xml:space="preserve">“</w:t>
      </w:r>
      <w:r>
        <w:t xml:space="preserve">in-flight</w:t>
      </w:r>
      <w:r>
        <w:t xml:space="preserve">”</w:t>
      </w:r>
      <w:r>
        <w:t xml:space="preserve"> </w:t>
      </w:r>
      <w:r>
        <w:t xml:space="preserve">scenario really has</w:t>
      </w:r>
      <w:r>
        <w:t xml:space="preserve"> </w:t>
      </w:r>
      <w:r>
        <w:rPr>
          <w:rStyle w:val="VerbatimChar"/>
        </w:rPr>
        <w:t xml:space="preserve">t_revoke ≤ t_execution &lt; eff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Prevents ARK-455-style no-op defects where a test case appears to encode a condition but is mathematically inert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800/800 scenarios validated</w:t>
      </w:r>
      <w:r>
        <w:t xml:space="preserve"> </w:t>
      </w:r>
      <w:r>
        <w:t xml:space="preserve">as effective before evaluation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terpretation"/>
    <w:p>
      <w:pPr>
        <w:pStyle w:val="Heading2"/>
      </w:pPr>
      <w:r>
        <w:t xml:space="preserve">Interpretation</w:t>
      </w:r>
    </w:p>
    <w:bookmarkStart w:id="33" w:name="what-this-result-means"/>
    <w:p>
      <w:pPr>
        <w:pStyle w:val="Heading3"/>
      </w:pPr>
      <w:r>
        <w:t xml:space="preserve">What This Result Means</w:t>
      </w:r>
    </w:p>
    <w:p>
      <w:pPr>
        <w:pStyle w:val="FirstParagraph"/>
      </w:pPr>
      <w:r>
        <w:t xml:space="preserve">ARK-451 demonstrates that an execution monitor can correctly treat authorization as a</w:t>
      </w:r>
      <w:r>
        <w:t xml:space="preserve"> </w:t>
      </w:r>
      <w:r>
        <w:rPr>
          <w:bCs/>
          <w:b/>
        </w:rPr>
        <w:t xml:space="preserve">time-bounded</w:t>
      </w:r>
      <w:r>
        <w:t xml:space="preserve"> </w:t>
      </w:r>
      <w:r>
        <w:t xml:space="preserve">grant rather than a one-time gate: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Authority is checked at the moment of execution, not the moment of decision.</w:t>
      </w:r>
      <w:r>
        <w:t xml:space="preserve"> </w:t>
      </w:r>
      <w:r>
        <w:t xml:space="preserve">A grant that was valid at decision time but revoked before execution is refused.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Revocation that is effective → DENY (fail closed).</w:t>
      </w:r>
      <w:r>
        <w:t xml:space="preserve"> </w:t>
      </w:r>
      <w:r>
        <w:t xml:space="preserve">Regardless of where the revocation lands in the decision→bind→execution lifecycle, if it is effective at execution the action is refused.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Revocation that is in flight → HOLD (fail safe).</w:t>
      </w:r>
      <w:r>
        <w:t xml:space="preserve"> </w:t>
      </w:r>
      <w:r>
        <w:t xml:space="preserve">When a revocation has been initiated but its propagation delay means it is not yet effective, the monitor holds rather than racing the revocation.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Valid authority → ALLOW.</w:t>
      </w:r>
      <w:r>
        <w:t xml:space="preserve"> </w:t>
      </w:r>
      <w:r>
        <w:t xml:space="preserve">Never-revoked, revoked-after-execution, and validly-reauthorized cases all correctly proceed.</w:t>
      </w:r>
    </w:p>
    <w:p>
      <w:pPr>
        <w:pStyle w:val="BodyText"/>
      </w:pPr>
      <w:r>
        <w:t xml:space="preserve">This validates a core ExecutionProof property:</w:t>
      </w:r>
      <w:r>
        <w:t xml:space="preserve"> </w:t>
      </w:r>
      <w:r>
        <w:rPr>
          <w:bCs/>
          <w:b/>
        </w:rPr>
        <w:t xml:space="preserve">a proof of authority is only as good as its currency at the instant of execution.</w:t>
      </w:r>
      <w:r>
        <w:t xml:space="preserve"> </w:t>
      </w:r>
      <w:r>
        <w:t xml:space="preserve">Time-of-check/time-of-use gaps are exactly where revoked authority slips through in real systems; ARK-451 shows the boundary can be enforced at use time.</w:t>
      </w:r>
    </w:p>
    <w:bookmarkEnd w:id="33"/>
    <w:bookmarkStart w:id="34" w:name="real-world-relevance"/>
    <w:p>
      <w:pPr>
        <w:pStyle w:val="Heading3"/>
      </w:pPr>
      <w:r>
        <w:t xml:space="preserve">Real-World Relevance</w:t>
      </w:r>
    </w:p>
    <w:p>
      <w:pPr>
        <w:pStyle w:val="FirstParagraph"/>
      </w:pPr>
      <w:r>
        <w:t xml:space="preserve">Revocation-during-execution is a routine and dangerous enterprise failure mode:</w:t>
      </w:r>
      <w:r>
        <w:t xml:space="preserve"> </w:t>
      </w:r>
      <w:r>
        <w:t xml:space="preserve">- A credential or token is revoked after a long-running job has been authorized but before it acts</w:t>
      </w:r>
      <w:r>
        <w:t xml:space="preserve"> </w:t>
      </w:r>
      <w:r>
        <w:t xml:space="preserve">- An approval is withdrawn while a multi-step workflow is mid-flight</w:t>
      </w:r>
      <w:r>
        <w:t xml:space="preserve"> </w:t>
      </w:r>
      <w:r>
        <w:t xml:space="preserve">- A revocation is issued but has not yet propagated to every enforcement point (eventual consistency)</w:t>
      </w:r>
      <w:r>
        <w:t xml:space="preserve"> </w:t>
      </w:r>
      <w:r>
        <w:t xml:space="preserve">- Authority is revoked and then legitimately re-granted before the action runs</w:t>
      </w:r>
    </w:p>
    <w:p>
      <w:pPr>
        <w:pStyle w:val="BodyText"/>
      </w:pPr>
      <w:r>
        <w:t xml:space="preserve">ARK-451 shows a properly designed monitor evaluated</w:t>
      </w:r>
      <w:r>
        <w:t xml:space="preserve"> </w:t>
      </w:r>
      <w:r>
        <w:rPr>
          <w:bCs/>
          <w:b/>
        </w:rPr>
        <w:t xml:space="preserve">at execution time</w:t>
      </w:r>
      <w:r>
        <w:t xml:space="preserve"> </w:t>
      </w:r>
      <w:r>
        <w:t xml:space="preserve">refuses stale authority, holds during propagation, and permits genuinely current authority — instead of trusting a decision-time snapshot.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mitations-and-scope"/>
    <w:p>
      <w:pPr>
        <w:pStyle w:val="Heading2"/>
      </w:pPr>
      <w:r>
        <w:t xml:space="preserve">Limitations and Scope</w:t>
      </w:r>
    </w:p>
    <w:p>
      <w:pPr>
        <w:pStyle w:val="FirstParagraph"/>
      </w:pPr>
      <w:r>
        <w:rPr>
          <w:bCs/>
          <w:b/>
        </w:rPr>
        <w:t xml:space="preserve">What this experiment tested:</w:t>
      </w:r>
      <w:r>
        <w:t xml:space="preserve"> </w:t>
      </w:r>
      <w:r>
        <w:t xml:space="preserve">- Whether a monitor evaluated at execution time makes the timing-correct decision across the revocation lifecycle</w:t>
      </w:r>
      <w:r>
        <w:t xml:space="preserve"> </w:t>
      </w:r>
      <w:r>
        <w:t xml:space="preserve">- Whether fail-closed (DENY) and fail-safe (HOLD) postures are correctly separated</w:t>
      </w:r>
      <w:r>
        <w:t xml:space="preserve"> </w:t>
      </w:r>
      <w:r>
        <w:t xml:space="preserve">- Whether the time-indexed decision procedure is clear enough for independent implementation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 distributed clock skew, unsynchronized clocks, or Byzantine time sources (time is modeled as a monotonic scalar)</w:t>
      </w:r>
      <w:r>
        <w:t xml:space="preserve"> </w:t>
      </w:r>
      <w:r>
        <w:t xml:space="preserve">- Actual revocation-propagation mechanisms, network partitions, or replication lag beyond the modeled</w:t>
      </w:r>
      <w:r>
        <w:t xml:space="preserve"> </w:t>
      </w:r>
      <w:r>
        <w:rPr>
          <w:rStyle w:val="VerbatimChar"/>
        </w:rPr>
        <w:t xml:space="preserve">propagation_delay</w:t>
      </w:r>
      <w:r>
        <w:t xml:space="preserve"> </w:t>
      </w:r>
      <w:r>
        <w:t xml:space="preserve">- Cryptographic integrity or authenticity of revocation messages</w:t>
      </w:r>
      <w:r>
        <w:t xml:space="preserve"> </w:t>
      </w:r>
      <w:r>
        <w:t xml:space="preserve">- Adversarial manipulation of timestamps</w:t>
      </w:r>
      <w:r>
        <w:t xml:space="preserve"> </w:t>
      </w:r>
      <w:r>
        <w:t xml:space="preserve">- Human procedures following a HOLD</w:t>
      </w:r>
      <w:r>
        <w:t xml:space="preserve"> </w:t>
      </w:r>
      <w:r>
        <w:t xml:space="preserve">- Performance or scalability under production load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 validating the time-indexed decision procedure in isolation, not the end-to-end enterprise authorization stack.</w:t>
      </w:r>
    </w:p>
    <w:p>
      <w:r>
        <w:pict>
          <v:rect style="width:0;height:1.5pt" o:hralign="center" o:hrstd="t" o:hr="t"/>
        </w:pict>
      </w:r>
    </w:p>
    <w:bookmarkEnd w:id="36"/>
    <w:bookmarkStart w:id="40" w:name="provenance-and-integrity"/>
    <w:p>
      <w:pPr>
        <w:pStyle w:val="Heading2"/>
      </w:pPr>
      <w:r>
        <w:t xml:space="preserve">Provenance and Integrity</w:t>
      </w:r>
    </w:p>
    <w:bookmarkStart w:id="37" w:name="lock-procedure"/>
    <w:p>
      <w:pPr>
        <w:pStyle w:val="Heading3"/>
      </w:pPr>
      <w:r>
        <w:t xml:space="preserve">LOCK Procedure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Preregistration, dual monitors, generator, MANIFEST (SHA-256 hashes) committed BEFORE execution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bf673de</w:t>
      </w:r>
      <w:r>
        <w:t xml:space="preserve"> </w:t>
      </w:r>
      <w:r>
        <w:t xml:space="preserve">(lock timestamp 2026-07-17T20:00:44Z UTC)</w:t>
      </w:r>
    </w:p>
    <w:p>
      <w:pPr>
        <w:numPr>
          <w:ilvl w:val="0"/>
          <w:numId w:val="1005"/>
        </w:numPr>
        <w:pStyle w:val="Compact"/>
      </w:pPr>
      <w:r>
        <w:t xml:space="preserve">No experimental arm scenario was generated or evaluated until after the LOCK commit</w:t>
      </w:r>
    </w:p>
    <w:p>
      <w:pPr>
        <w:numPr>
          <w:ilvl w:val="0"/>
          <w:numId w:val="1005"/>
        </w:numPr>
        <w:pStyle w:val="Compact"/>
      </w:pPr>
      <w:r>
        <w:t xml:space="preserve">Results recorded AFTER execution complete</w:t>
      </w:r>
    </w:p>
    <w:bookmarkEnd w:id="37"/>
    <w:bookmarkStart w:id="38" w:name="X698e029746822702ff3d8543cb1706824d23d97"/>
    <w:p>
      <w:pPr>
        <w:pStyle w:val="Heading3"/>
      </w:pPr>
      <w:r>
        <w:t xml:space="preserve">Pre-Execution Harness Correction (disclosed)</w:t>
      </w:r>
    </w:p>
    <w:p>
      <w:pPr>
        <w:pStyle w:val="FirstParagraph"/>
      </w:pPr>
      <w:r>
        <w:t xml:space="preserve">Before any experimental arm was generated or evaluated, a print-formatting syntax error in</w:t>
      </w:r>
      <w:r>
        <w:t xml:space="preserve"> </w:t>
      </w:r>
      <w:r>
        <w:rPr>
          <w:rStyle w:val="VerbatimChar"/>
        </w:rPr>
        <w:t xml:space="preserve">run_arms.py</w:t>
      </w:r>
      <w:r>
        <w:t xml:space="preserve"> </w:t>
      </w:r>
      <w:r>
        <w:t xml:space="preserve">(an f-string expression containing a backslash, invalid on Python &lt; 3.12) was corrected and the lock re-committed. The fix moves two decorative Unicode glyphs out of an f-string expression into a helper function; console output is identical.</w:t>
      </w:r>
      <w:r>
        <w:t xml:space="preserve"> </w:t>
      </w:r>
      <w:r>
        <w:rPr>
          <w:bCs/>
          <w:b/>
        </w:rPr>
        <w:t xml:space="preserve">No change was made to the decision procedure, pass criteria, thresholds, generator seeds, or the revocation-timing effectiveness oracle.</w:t>
      </w:r>
      <w:r>
        <w:t xml:space="preserve"> </w:t>
      </w:r>
      <w:r>
        <w:t xml:space="preserve">At the time of correction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contained no arm outcomes (only kill-gate calibration output, which does not reveal arm metrics). 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“</w:t>
      </w:r>
      <w:r>
        <w:t xml:space="preserve">Lock note</w:t>
      </w:r>
      <w:r>
        <w:t xml:space="preserve">”</w:t>
      </w:r>
      <w:r>
        <w:t xml:space="preserve"> </w:t>
      </w:r>
      <w:r>
        <w:t xml:space="preserve">for the full disclosure.</w:t>
      </w:r>
    </w:p>
    <w:bookmarkEnd w:id="38"/>
    <w:bookmarkStart w:id="39" w:name="manifest-sha-256-hashes-locked-files"/>
    <w:p>
      <w:pPr>
        <w:pStyle w:val="Heading3"/>
      </w:pPr>
      <w:r>
        <w:t xml:space="preserve">MANIFEST SHA-256 Hashes (locked files)</w:t>
      </w:r>
    </w:p>
    <w:p>
      <w:pPr>
        <w:pStyle w:val="SourceCode"/>
      </w:pPr>
      <w:r>
        <w:rPr>
          <w:rStyle w:val="VerbatimChar"/>
        </w:rPr>
        <w:t xml:space="preserve">PREREGISTRATION.md:                          25cef3b20e37f996aa7b1eb09c6361da352d34de5d1e9b467f2149c33d22fead</w:t>
      </w:r>
      <w:r>
        <w:br/>
      </w:r>
      <w:r>
        <w:rPr>
          <w:rStyle w:val="VerbatimChar"/>
        </w:rPr>
        <w:t xml:space="preserve">schemas/revocation_scenario_schema.json:     436ef619d40916d73a2fb9d260af193676de2479c903081dacd5709764603423</w:t>
      </w:r>
      <w:r>
        <w:br/>
      </w:r>
      <w:r>
        <w:rPr>
          <w:rStyle w:val="VerbatimChar"/>
        </w:rPr>
        <w:t xml:space="preserve">verifiers/v1_monitor.js:                      159e4ffacab6e20bfdc7d25e5212736225d1785966623e298cfa1b8e4e0620db</w:t>
      </w:r>
      <w:r>
        <w:br/>
      </w:r>
      <w:r>
        <w:rPr>
          <w:rStyle w:val="VerbatimChar"/>
        </w:rPr>
        <w:t xml:space="preserve">verifiers/v2_monitor.py:                      32666e55890acb889521b3d50224df2e105d14041ab6993e32c4b0de6bdb1476</w:t>
      </w:r>
      <w:r>
        <w:br/>
      </w:r>
      <w:r>
        <w:rPr>
          <w:rStyle w:val="VerbatimChar"/>
        </w:rPr>
        <w:t xml:space="preserve">generator/scenario_generator.py:              9b2fb6068de11a98c94bdaf53338e14b307db6b782885a4ee3fb7c15f34f9ebd</w:t>
      </w:r>
      <w:r>
        <w:br/>
      </w:r>
      <w:r>
        <w:rPr>
          <w:rStyle w:val="VerbatimChar"/>
        </w:rPr>
        <w:t xml:space="preserve">run_killgate.py:                              10f0a7bd5b57ef8fd45d883f1271056431c7a0bbf610c7200d3b6badc9711341</w:t>
      </w:r>
      <w:r>
        <w:br/>
      </w:r>
      <w:r>
        <w:rPr>
          <w:rStyle w:val="VerbatimChar"/>
        </w:rPr>
        <w:t xml:space="preserve">run_arms.py:                                  040f171d7b29bb0477ae1acf3755f30493cd77de5c4ce08e8a333793bf08f414</w:t>
      </w:r>
    </w:p>
    <w:p>
      <w:pPr>
        <w:pStyle w:val="FirstParagraph"/>
      </w:pPr>
      <w:r>
        <w:rPr>
          <w:bCs/>
          <w:b/>
        </w:rPr>
        <w:t xml:space="preserve">Commits are not cryptographically signed.</w:t>
      </w:r>
      <w:r>
        <w:t xml:space="preserve"> </w:t>
      </w:r>
      <w:r>
        <w:t xml:space="preserve">Provenance = commit history + MANIFEST SHA-256 hashes. This is an experimental testbed, not a production security claim.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ARK-451 answers the question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authority revoked during execution actually refused at the moment of use?</w:t>
      </w:r>
      <w:r>
        <w:rPr>
          <w:bCs/>
          <w:b/>
        </w:rPr>
        <w:t xml:space="preserve">”</w:t>
      </w:r>
      <w:r>
        <w:t xml:space="preserve"> </w:t>
      </w:r>
      <w:r>
        <w:t xml:space="preserve">with a clear</w:t>
      </w:r>
      <w:r>
        <w:t xml:space="preserve"> </w:t>
      </w:r>
      <w:r>
        <w:rPr>
          <w:bCs/>
          <w:b/>
        </w:rPr>
        <w:t xml:space="preserve">YES</w:t>
      </w:r>
      <w:r>
        <w:t xml:space="preserve">:</w:t>
      </w:r>
      <w:r>
        <w:t xml:space="preserve"> </w:t>
      </w:r>
      <w:r>
        <w:t xml:space="preserve">- Valid-throughout, revoked-after-execution, and revoked-then-reauthorized → ALLOW (100%)</w:t>
      </w:r>
      <w:r>
        <w:t xml:space="preserve"> </w:t>
      </w:r>
      <w:r>
        <w:t xml:space="preserve">- Revoked-before-bind, revoked-after-decision, revoked-during-multistep → DENY, fail-closed (100%)</w:t>
      </w:r>
      <w:r>
        <w:t xml:space="preserve"> </w:t>
      </w:r>
      <w:r>
        <w:t xml:space="preserve">- In-flight revocations (propagating, not yet effective) → HOLD, fail-safe (100%)</w:t>
      </w:r>
      <w:r>
        <w:t xml:space="preserve"> </w:t>
      </w:r>
      <w:r>
        <w:t xml:space="preserve">- Dual independent implementations agree (100%, 800/800)</w:t>
      </w:r>
    </w:p>
    <w:p>
      <w:pPr>
        <w:pStyle w:val="BodyText"/>
      </w:pPr>
      <w:r>
        <w:t xml:space="preserve">Authority is validated at the instant of execution, not the instant of decision. Revoked authority does not execute.</w:t>
      </w:r>
    </w:p>
    <w:p>
      <w:pPr>
        <w:pStyle w:val="BodyText"/>
      </w:pPr>
      <w:r>
        <w:rPr>
          <w:bCs/>
          <w:b/>
        </w:rPr>
        <w:t xml:space="preserve">Verdict stands as executed: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ExecutionProof™ authorization-boundary corpus</w:t>
      </w:r>
      <w:r>
        <w:br/>
      </w:r>
      <w:r>
        <w:rPr>
          <w:bCs/>
          <w:b/>
        </w:rPr>
        <w:t xml:space="preserve">Trademarks:</w:t>
      </w:r>
      <w:r>
        <w:t xml:space="preserve"> </w:t>
      </w:r>
      <w:r>
        <w:t xml:space="preserve">ExecutionProof™, ProofRecord™, VaultProof™, Verification Before Execution™, Proof Before Power™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2026-07-17T20:05:47Z</dcterms:created>
  <dcterms:modified xsi:type="dcterms:W3CDTF">2026-07-17T20:05:47Z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