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ark-460-results"/>
    <w:p>
      <w:pPr>
        <w:pStyle w:val="Heading1"/>
      </w:pPr>
      <w:r>
        <w:t xml:space="preserve">ARK-460 — Results</w:t>
      </w:r>
    </w:p>
    <w:bookmarkStart w:id="20" w:name="cloud-iam-role-grant-dependency-loss"/>
    <w:p>
      <w:pPr>
        <w:pStyle w:val="Heading2"/>
      </w:pPr>
      <w:r>
        <w:t xml:space="preserve">Cloud IAM Role Grant · Dependency Loss</w:t>
      </w:r>
    </w:p>
    <w:p>
      <w:pPr>
        <w:pStyle w:val="FirstParagraph"/>
      </w:pPr>
      <w:r>
        <w:rPr>
          <w:bCs/>
          <w:b/>
        </w:rPr>
        <w:t xml:space="preserve">Experiment ID:</w:t>
      </w:r>
      <w:r>
        <w:t xml:space="preserve"> </w:t>
      </w:r>
      <w:r>
        <w:t xml:space="preserve">ARK-460 ·</w:t>
      </w:r>
      <w:r>
        <w:t xml:space="preserve"> </w:t>
      </w:r>
      <w:r>
        <w:rPr>
          <w:bCs/>
          <w:b/>
        </w:rPr>
        <w:t xml:space="preserve">Institution:</w:t>
      </w:r>
      <w:r>
        <w:t xml:space="preserve"> </w:t>
      </w:r>
      <w:r>
        <w:t xml:space="preserve">Remnant Fieldworks Inc. ·</w:t>
      </w:r>
      <w:r>
        <w:t xml:space="preserve"> </w:t>
      </w:r>
      <w:r>
        <w:rPr>
          <w:bCs/>
          <w:b/>
        </w:rPr>
        <w:t xml:space="preserve">PI:</w:t>
      </w:r>
      <w:r>
        <w:t xml:space="preserve"> </w:t>
      </w:r>
      <w:r>
        <w:t xml:space="preserve">Derek Adam Hone</w:t>
      </w:r>
      <w:r>
        <w:t xml:space="preserve"> </w:t>
      </w:r>
      <w:r>
        <w:rPr>
          <w:bCs/>
          <w:b/>
        </w:rPr>
        <w:t xml:space="preserve">Substrate:</w:t>
      </w:r>
      <w:r>
        <w:t xml:space="preserve"> </w:t>
      </w:r>
      <w:r>
        <w:t xml:space="preserve">Classical software ·</w:t>
      </w:r>
      <w:r>
        <w:t xml:space="preserve"> </w:t>
      </w:r>
      <w:r>
        <w:rPr>
          <w:bCs/>
          <w:b/>
        </w:rPr>
        <w:t xml:space="preserve">Guards:</w:t>
      </w:r>
      <w:r>
        <w:t xml:space="preserve"> </w:t>
      </w:r>
      <w:r>
        <w:t xml:space="preserve">Dual independent (V1 JS, V2 Python)</w:t>
      </w:r>
      <w:r>
        <w:t xml:space="preserve"> </w:t>
      </w:r>
      <w:r>
        <w:rPr>
          <w:bCs/>
          <w:b/>
        </w:rPr>
        <w:t xml:space="preserve">Official execution:</w:t>
      </w:r>
      <w:r>
        <w:t xml:space="preserve"> </w:t>
      </w:r>
      <w:r>
        <w:t xml:space="preserve">2026-07-18 (post-lock)</w:t>
      </w:r>
    </w:p>
    <w:bookmarkEnd w:id="20"/>
    <w:bookmarkStart w:id="25" w:name="verdict-pass"/>
    <w:p>
      <w:pPr>
        <w:pStyle w:val="Heading2"/>
      </w:pPr>
      <w:r>
        <w:t xml:space="preserve">Verdict: ✅ PASS</w:t>
      </w:r>
    </w:p>
    <w:p>
      <w:pPr>
        <w:pStyle w:val="FirstParagraph"/>
      </w:pPr>
      <w:r>
        <w:t xml:space="preserve">When critical dependencies are</w:t>
      </w:r>
      <w:r>
        <w:t xml:space="preserve"> </w:t>
      </w:r>
      <w:r>
        <w:rPr>
          <w:bCs/>
          <w:b/>
        </w:rPr>
        <w:t xml:space="preserve">UNAVAILABLE</w:t>
      </w:r>
      <w:r>
        <w:t xml:space="preserve"> </w:t>
      </w:r>
      <w:r>
        <w:t xml:space="preserve">at execution time, the gate correctly</w:t>
      </w:r>
      <w:r>
        <w:t xml:space="preserve"> </w:t>
      </w:r>
      <w:r>
        <w:rPr>
          <w:bCs/>
          <w:b/>
        </w:rPr>
        <w:t xml:space="preserve">fails safe</w:t>
      </w:r>
      <w:r>
        <w:t xml:space="preserve"> </w:t>
      </w:r>
      <w:r>
        <w:t xml:space="preserve">(HOLD — cannot confirm validity) rather than wrongly ALLOWing.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C1</w:t>
            </w:r>
            <w:r>
              <w:t xml:space="preserve"> </w:t>
            </w:r>
            <w:r>
              <w:t xml:space="preserve">g_allow_available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0.95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C2</w:t>
            </w:r>
            <w:r>
              <w:t xml:space="preserve"> </w:t>
            </w:r>
            <w:r>
              <w:t xml:space="preserve">g_hold_unavailable_min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0.95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C3</w:t>
            </w:r>
            <w:r>
              <w:t xml:space="preserve"> </w:t>
            </w:r>
            <w:r>
              <w:t xml:space="preserve">g_margin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0.90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</w:tbl>
    <w:p>
      <w:pPr>
        <w:numPr>
          <w:ilvl w:val="0"/>
          <w:numId w:val="1001"/>
        </w:numPr>
        <w:pStyle w:val="Compact"/>
      </w:pPr>
      <w:r>
        <w:t xml:space="preserve">Dual-guard concordance:</w:t>
      </w:r>
      <w:r>
        <w:t xml:space="preserve"> </w:t>
      </w:r>
      <w:r>
        <w:rPr>
          <w:bCs/>
          <w:b/>
        </w:rPr>
        <w:t xml:space="preserve">800/800 = 100.00%</w:t>
      </w:r>
    </w:p>
    <w:p>
      <w:pPr>
        <w:numPr>
          <w:ilvl w:val="0"/>
          <w:numId w:val="1001"/>
        </w:numPr>
        <w:pStyle w:val="Compact"/>
      </w:pPr>
      <w:r>
        <w:t xml:space="preserve">Kill-gate: wrongly ALLOWs</w:t>
      </w:r>
      <w:r>
        <w:t xml:space="preserve"> </w:t>
      </w:r>
      <w:r>
        <w:rPr>
          <w:bCs/>
          <w:b/>
        </w:rPr>
        <w:t xml:space="preserve">150/150 = 100%</w:t>
      </w:r>
      <w:r>
        <w:t xml:space="preserve"> </w:t>
      </w:r>
      <w:r>
        <w:t xml:space="preserve">of HOLD arms (testbed falsifiable ✓)</w:t>
      </w:r>
    </w:p>
    <w:p>
      <w:r>
        <w:pict>
          <v:rect style="width:0;height:1.5pt" o:hralign="center" o:hrstd="t" o:hr="t"/>
        </w:pict>
      </w:r>
    </w:p>
    <w:bookmarkStart w:id="21" w:name="per-arm-results"/>
    <w:p>
      <w:pPr>
        <w:pStyle w:val="Heading3"/>
      </w:pPr>
      <w:r>
        <w:t xml:space="preserve">Per-Arm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Concordance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ALL-AVAILABLE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PolicyRegistry 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IdentityProvider 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SignatureVerifier 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AuditLogger 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ALL-UNAVAILABLE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ALL-AVAILABLE-baseline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Total:</w:t>
      </w:r>
      <w:r>
        <w:t xml:space="preserve"> </w:t>
      </w:r>
      <w:r>
        <w:t xml:space="preserve">800 decisions, all 100% correct, 100% dual-guard concordance.</w:t>
      </w:r>
    </w:p>
    <w:p>
      <w:r>
        <w:pict>
          <v:rect style="width:0;height:1.5pt" o:hralign="center" o:hrstd="t" o:hr="t"/>
        </w:pict>
      </w:r>
    </w:p>
    <w:bookmarkEnd w:id="21"/>
    <w:bookmarkStart w:id="22" w:name="findings"/>
    <w:p>
      <w:pPr>
        <w:pStyle w:val="Heading3"/>
      </w:pPr>
      <w:r>
        <w:t xml:space="preserve">Findings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Perfect fail-safe behavior.</w:t>
      </w:r>
      <w:r>
        <w:t xml:space="preserve"> </w:t>
      </w:r>
      <w:r>
        <w:t xml:space="preserve">Arms 2–7 (at least one dependency unavailable) all HOLD 100/100. No ALLOW when dependencies are down.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ALLOW only when all dependencies available.</w:t>
      </w:r>
      <w:r>
        <w:t xml:space="preserve"> </w:t>
      </w:r>
      <w:r>
        <w:t xml:space="preserve">Arms 1, 8 both ALLOW 100/100 when all dependencies available.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Independent dual guards in perfect agreement.</w:t>
      </w:r>
      <w:r>
        <w:t xml:space="preserve"> </w:t>
      </w:r>
      <w:r>
        <w:t xml:space="preserve">V1 (JS) and V2 (Python) produced identical decisions on all 800 scenarios.</w:t>
      </w:r>
    </w:p>
    <w:p>
      <w:r>
        <w:pict>
          <v:rect style="width:0;height:1.5pt" o:hralign="center" o:hrstd="t" o:hr="t"/>
        </w:pict>
      </w:r>
    </w:p>
    <w:bookmarkEnd w:id="22"/>
    <w:bookmarkStart w:id="23" w:name="integrity"/>
    <w:p>
      <w:pPr>
        <w:pStyle w:val="Heading3"/>
      </w:pPr>
      <w:r>
        <w:t xml:space="preserve">Integrity</w:t>
      </w:r>
    </w:p>
    <w:p>
      <w:pPr>
        <w:numPr>
          <w:ilvl w:val="0"/>
          <w:numId w:val="1003"/>
        </w:numPr>
        <w:pStyle w:val="Compact"/>
      </w:pPr>
      <w:r>
        <w:t xml:space="preserve">Locked files unchanged (verified via</w:t>
      </w:r>
      <w:r>
        <w:t xml:space="preserve"> </w:t>
      </w:r>
      <w:r>
        <w:rPr>
          <w:rStyle w:val="VerbatimChar"/>
        </w:rPr>
        <w:t xml:space="preserve">./compute_hashes.sh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Both guards ran clean on first execution; no post-lock harness fix required.</w:t>
      </w:r>
    </w:p>
    <w:bookmarkEnd w:id="23"/>
    <w:bookmarkStart w:id="24" w:name="honest-bounds"/>
    <w:p>
      <w:pPr>
        <w:pStyle w:val="Heading3"/>
      </w:pPr>
      <w:r>
        <w:t xml:space="preserve">Honest bounds</w:t>
      </w:r>
    </w:p>
    <w:p>
      <w:pPr>
        <w:pStyle w:val="FirstParagraph"/>
      </w:pPr>
      <w:r>
        <w:t xml:space="preserve">Classical software test of authorization control logic. This tests the</w:t>
      </w:r>
      <w:r>
        <w:t xml:space="preserve"> </w:t>
      </w:r>
      <w:r>
        <w:rPr>
          <w:bCs/>
          <w:b/>
        </w:rPr>
        <w:t xml:space="preserve">dependency-loss logic</w:t>
      </w:r>
      <w:r>
        <w:t xml:space="preserve">; ARK-458 tested exact-action-binding, ARK-459 tested revocation.</w:t>
      </w:r>
      <w:r>
        <w:t xml:space="preserve"> </w:t>
      </w:r>
      <w:r>
        <w:rPr>
          <w:bCs/>
          <w:b/>
        </w:rPr>
        <w:t xml:space="preserve">No claim</w:t>
      </w:r>
      <w:r>
        <w:t xml:space="preserve"> </w:t>
      </w:r>
      <w:r>
        <w:t xml:space="preserve">that this legally validates any patent claim or certifies RF-100 conformance.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Published under the Remnant Fieldworks Standing Covenant. To God be the glory. Proof Before Power. Verification Before Execution.</w:t>
      </w:r>
    </w:p>
    <w:bookmarkEnd w:id="24"/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2026-07-18T18:49:28Z</dcterms:created>
  <dcterms:modified xsi:type="dcterms:W3CDTF">2026-07-18T18:49:28Z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