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rk-459-results"/>
    <w:p>
      <w:pPr>
        <w:pStyle w:val="Heading1"/>
      </w:pPr>
      <w:r>
        <w:t xml:space="preserve">ARK-459 — Results</w:t>
      </w:r>
    </w:p>
    <w:bookmarkStart w:id="20" w:name="Xeb23611515df7dd3a748d7210ece9c93bd67f59"/>
    <w:p>
      <w:pPr>
        <w:pStyle w:val="Heading2"/>
      </w:pPr>
      <w:r>
        <w:t xml:space="preserve">Cloud IAM Role Grant · Revocation At Execution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ARK-459</w:t>
      </w:r>
      <w:r>
        <w:t xml:space="preserve"> </w:t>
      </w:r>
      <w:r>
        <w:rPr>
          <w:bCs/>
          <w:b/>
        </w:rPr>
        <w:t xml:space="preserve">Institution:</w:t>
      </w:r>
      <w:r>
        <w:t xml:space="preserve"> </w:t>
      </w:r>
      <w:r>
        <w:t xml:space="preserve">Remnant Fieldworks Inc.</w:t>
      </w:r>
      <w:r>
        <w:t xml:space="preserve"> </w:t>
      </w:r>
      <w:r>
        <w:rPr>
          <w:bCs/>
          <w:b/>
        </w:rPr>
        <w:t xml:space="preserve">PI:</w:t>
      </w:r>
      <w:r>
        <w:t xml:space="preserve"> </w:t>
      </w:r>
      <w:r>
        <w:t xml:space="preserve">Derek Adam Hone</w:t>
      </w:r>
      <w:r>
        <w:t xml:space="preserve"> </w:t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(no quantum hardware, no cryptography)</w:t>
      </w:r>
      <w:r>
        <w:t xml:space="preserve"> </w:t>
      </w:r>
      <w:r>
        <w:rPr>
          <w:bCs/>
          <w:b/>
        </w:rPr>
        <w:t xml:space="preserve">Guards:</w:t>
      </w:r>
      <w:r>
        <w:t xml:space="preserve"> </w:t>
      </w:r>
      <w:r>
        <w:t xml:space="preserve">Dual independent — V1 (JavaScript), V2 (Python)</w:t>
      </w:r>
      <w:r>
        <w:t xml:space="preserve"> </w:t>
      </w:r>
      <w:r>
        <w:rPr>
          <w:bCs/>
          <w:b/>
        </w:rPr>
        <w:t xml:space="preserve">Official execution:</w:t>
      </w:r>
      <w:r>
        <w:t xml:space="preserve"> </w:t>
      </w:r>
      <w:r>
        <w:t xml:space="preserve">2026-07-18 (post-lock — see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)</w:t>
      </w:r>
    </w:p>
    <w:bookmarkEnd w:id="20"/>
    <w:bookmarkStart w:id="25" w:name="verdict-pass"/>
    <w:p>
      <w:pPr>
        <w:pStyle w:val="Heading2"/>
      </w:pPr>
      <w:r>
        <w:t xml:space="preserve">Verdict: ✅ PASS</w:t>
      </w:r>
    </w:p>
    <w:p>
      <w:pPr>
        <w:pStyle w:val="FirstParagraph"/>
      </w:pPr>
      <w:r>
        <w:t xml:space="preserve">All four preregistered criteria met with perfect scores. When IAM role-grant authority is revoked before execution, the gate correctly</w:t>
      </w:r>
      <w:r>
        <w:t xml:space="preserve"> </w:t>
      </w:r>
      <w:r>
        <w:rPr>
          <w:bCs/>
          <w:b/>
        </w:rPr>
        <w:t xml:space="preserve">fails closed</w:t>
      </w:r>
      <w:r>
        <w:t xml:space="preserve"> </w:t>
      </w:r>
      <w:r>
        <w:t xml:space="preserve">(DENY when effective) or</w:t>
      </w:r>
      <w:r>
        <w:t xml:space="preserve"> </w:t>
      </w:r>
      <w:r>
        <w:rPr>
          <w:bCs/>
          <w:b/>
        </w:rPr>
        <w:t xml:space="preserve">fails safe</w:t>
      </w:r>
      <w:r>
        <w:t xml:space="preserve"> </w:t>
      </w:r>
      <w:r>
        <w:t xml:space="preserve">(HOLD when in-flight), never silently proceeding as if the authority were still valid.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</w:t>
            </w:r>
            <w:r>
              <w:t xml:space="preserve"> </w:t>
            </w:r>
            <w:r>
              <w:t xml:space="preserve">g_allow_valid_min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</w:t>
            </w:r>
            <w:r>
              <w:t xml:space="preserve"> </w:t>
            </w:r>
            <w:r>
              <w:t xml:space="preserve">g_deny_revoked_min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</w:t>
            </w:r>
            <w:r>
              <w:t xml:space="preserve"> </w:t>
            </w:r>
            <w:r>
              <w:t xml:space="preserve">g_hold_inflight_min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C4</w:t>
            </w:r>
            <w:r>
              <w:t xml:space="preserve"> </w:t>
            </w:r>
            <w:r>
              <w:t xml:space="preserve">g_margin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Dual-guard concordance:</w:t>
      </w:r>
      <w:r>
        <w:t xml:space="preserve"> </w:t>
      </w:r>
      <w:r>
        <w:rPr>
          <w:bCs/>
          <w:b/>
        </w:rPr>
        <w:t xml:space="preserve">800/800 = 100.00%</w:t>
      </w:r>
    </w:p>
    <w:p>
      <w:pPr>
        <w:numPr>
          <w:ilvl w:val="0"/>
          <w:numId w:val="1001"/>
        </w:numPr>
        <w:pStyle w:val="Compact"/>
      </w:pPr>
      <w:r>
        <w:t xml:space="preserve">Kill-gate negative control: wrongly ALLOWs</w:t>
      </w:r>
      <w:r>
        <w:t xml:space="preserve"> </w:t>
      </w:r>
      <w:r>
        <w:rPr>
          <w:bCs/>
          <w:b/>
        </w:rPr>
        <w:t xml:space="preserve">125/125 = 100%</w:t>
      </w:r>
      <w:r>
        <w:t xml:space="preserve"> </w:t>
      </w:r>
      <w:r>
        <w:t xml:space="preserve">of DENY/HOLD arms (testbed falsifiable ✓)</w:t>
      </w:r>
    </w:p>
    <w:p>
      <w:r>
        <w:pict>
          <v:rect style="width:0;height:1.5pt" o:hralign="center" o:hrstd="t" o:hr="t"/>
        </w:pict>
      </w:r>
    </w:p>
    <w:bookmarkStart w:id="21" w:name="per-arm-results"/>
    <w:p>
      <w:pPr>
        <w:pStyle w:val="Heading3"/>
      </w:pPr>
      <w:r>
        <w:t xml:space="preserve">Per-Arm Results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25"/>
        <w:gridCol w:w="1155"/>
        <w:gridCol w:w="1320"/>
        <w:gridCol w:w="1485"/>
        <w:gridCol w:w="31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V1↔V2 Concordance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VALID-throughout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REVOKED-before-approval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REVOKED-after-approval-before-execution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REVOKED-during-multistep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IN-FLIGHT-at-execution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REVOKED-then-REAUTHORIZED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IN-FLIGHT-boundary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REVOKED-after-execution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800 decisions across 8 arms. All arms achieved</w:t>
      </w:r>
      <w:r>
        <w:t xml:space="preserve"> </w:t>
      </w:r>
      <w:r>
        <w:rPr>
          <w:bCs/>
          <w:b/>
        </w:rPr>
        <w:t xml:space="preserve">100% correctness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100% dual-guard concordance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findings"/>
    <w:p>
      <w:pPr>
        <w:pStyle w:val="Heading3"/>
      </w:pPr>
      <w:r>
        <w:t xml:space="preserve">Findings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Perfect fail-closed and fail-safe behavior.</w:t>
      </w:r>
      <w:r>
        <w:t xml:space="preserve"> </w:t>
      </w:r>
      <w:r>
        <w:t xml:space="preserve">Arms 2–4 (revoked before execution, fully effective) all DENY 100/100. Arms 5, 7 (revocation in-flight at execution) all HOLD 100/100. No scenario in any DENY/HOLD arm was wrongly ALLOWed.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Reauthorization handled correctly.</w:t>
      </w:r>
      <w:r>
        <w:t xml:space="preserve"> </w:t>
      </w:r>
      <w:r>
        <w:t xml:space="preserve">Arm 6 (revoked, then a new valid approval issued before execution) correctly ALLOWs 100/100 — the new approval governs, not the revoked one.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Revoked after execution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not a failure.</w:t>
      </w:r>
      <w:r>
        <w:t xml:space="preserve"> </w:t>
      </w:r>
      <w:r>
        <w:t xml:space="preserve">Arm 8 (revocation issued strictly after</w:t>
      </w:r>
      <w:r>
        <w:t xml:space="preserve"> </w:t>
      </w:r>
      <w:r>
        <w:rPr>
          <w:rStyle w:val="VerbatimChar"/>
        </w:rPr>
        <w:t xml:space="preserve">t_execution</w:t>
      </w:r>
      <w:r>
        <w:t xml:space="preserve">) correctly ALLOWs 100/100 — the grant already executed under valid authority; the revocation is too late to affect it.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Independent dual guards in perfect agreement.</w:t>
      </w:r>
      <w:r>
        <w:t xml:space="preserve"> </w:t>
      </w:r>
      <w:r>
        <w:t xml:space="preserve">V1 (JavaScript) and V2 (Python) produced identical decisions on all 800 scenarios — the logic is deterministic and the implementations are concordant.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Anti-no-op oracle prevented defects.</w:t>
      </w:r>
      <w:r>
        <w:t xml:space="preserve"> </w:t>
      </w:r>
      <w:r>
        <w:t xml:space="preserve">Every generated scenario was validated by</w:t>
      </w:r>
      <w:r>
        <w:t xml:space="preserve"> </w:t>
      </w:r>
      <w:r>
        <w:rPr>
          <w:rStyle w:val="VerbatimChar"/>
        </w:rPr>
        <w:t xml:space="preserve">_revocation_effective_oracle</w:t>
      </w:r>
      <w:r>
        <w:t xml:space="preserve"> </w:t>
      </w:r>
      <w:r>
        <w:t xml:space="preserve">before any guard saw it, ensuring the timing relationships were genuine. No scenario was mathematically inert (e.g., a</w:t>
      </w:r>
      <w:r>
        <w:t xml:space="preserve"> </w:t>
      </w:r>
      <w:r>
        <w:t xml:space="preserve">“</w:t>
      </w:r>
      <w:r>
        <w:t xml:space="preserve">revoked-before-execution</w:t>
      </w:r>
      <w:r>
        <w:t xml:space="preserve">”</w:t>
      </w:r>
      <w:r>
        <w:t xml:space="preserve"> </w:t>
      </w:r>
      <w:r>
        <w:t xml:space="preserve">arm whose revocation actually landed after execution).</w:t>
      </w:r>
    </w:p>
    <w:p>
      <w:r>
        <w:pict>
          <v:rect style="width:0;height:1.5pt" o:hralign="center" o:hrstd="t" o:hr="t"/>
        </w:pict>
      </w:r>
    </w:p>
    <w:bookmarkEnd w:id="22"/>
    <w:bookmarkStart w:id="23" w:name="integrity-lock-discipline"/>
    <w:p>
      <w:pPr>
        <w:pStyle w:val="Heading3"/>
      </w:pPr>
      <w:r>
        <w:t xml:space="preserve">Integrity / lock discipline</w:t>
      </w:r>
    </w:p>
    <w:p>
      <w:pPr>
        <w:numPr>
          <w:ilvl w:val="0"/>
          <w:numId w:val="1003"/>
        </w:numPr>
        <w:pStyle w:val="Compact"/>
      </w:pPr>
      <w:r>
        <w:t xml:space="preserve">The six locked files (</w:t>
      </w:r>
      <w:r>
        <w:rPr>
          <w:rStyle w:val="VerbatimChar"/>
        </w:rPr>
        <w:t xml:space="preserve">PREREGISTRATION.md</w:t>
      </w:r>
      <w:r>
        <w:t xml:space="preserve">, both guards, generator, both run scripts) were hashed into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official run; post-run</w:t>
      </w:r>
      <w:r>
        <w:t xml:space="preserve"> </w:t>
      </w:r>
      <w:r>
        <w:rPr>
          <w:rStyle w:val="VerbatimChar"/>
        </w:rPr>
        <w:t xml:space="preserve">./compute_hashes.sh</w:t>
      </w:r>
      <w:r>
        <w:t xml:space="preserve"> </w:t>
      </w:r>
      <w:r>
        <w:t xml:space="preserve">reproduced the identical hashes — the locked files were unchanged by execution.</w:t>
      </w:r>
    </w:p>
    <w:p>
      <w:pPr>
        <w:numPr>
          <w:ilvl w:val="0"/>
          <w:numId w:val="1003"/>
        </w:numPr>
        <w:pStyle w:val="Compact"/>
      </w:pPr>
      <w:r>
        <w:t xml:space="preserve">Both guards and the harness ran clean on first execution; no post-lock harness fix was required.</w:t>
      </w:r>
    </w:p>
    <w:bookmarkEnd w:id="23"/>
    <w:bookmarkStart w:id="24" w:name="Xefd41b1dff54695d75184a1b093a8c927a826a1"/>
    <w:p>
      <w:pPr>
        <w:pStyle w:val="Heading3"/>
      </w:pPr>
      <w:r>
        <w:t xml:space="preserve">Honest bounds (unchanged from preregistration)</w:t>
      </w:r>
    </w:p>
    <w:p>
      <w:pPr>
        <w:numPr>
          <w:ilvl w:val="0"/>
          <w:numId w:val="1004"/>
        </w:numPr>
        <w:pStyle w:val="Compact"/>
      </w:pPr>
      <w:r>
        <w:t xml:space="preserve">Classical software test of</w:t>
      </w:r>
      <w:r>
        <w:t xml:space="preserve"> </w:t>
      </w:r>
      <w:r>
        <w:rPr>
          <w:bCs/>
          <w:b/>
        </w:rPr>
        <w:t xml:space="preserve">authorization control logic</w:t>
      </w:r>
      <w:r>
        <w:t xml:space="preserve">, not a test of AWS, not a cryptographic security proof, not a production-readiness certification.</w:t>
      </w:r>
    </w:p>
    <w:p>
      <w:pPr>
        <w:numPr>
          <w:ilvl w:val="0"/>
          <w:numId w:val="1004"/>
        </w:numPr>
        <w:pStyle w:val="Compact"/>
      </w:pPr>
      <w:r>
        <w:t xml:space="preserve">This tests the</w:t>
      </w:r>
      <w:r>
        <w:t xml:space="preserve"> </w:t>
      </w:r>
      <w:r>
        <w:rPr>
          <w:bCs/>
          <w:b/>
        </w:rPr>
        <w:t xml:space="preserve">timeline/revocation logic</w:t>
      </w:r>
      <w:r>
        <w:t xml:space="preserve"> </w:t>
      </w:r>
      <w:r>
        <w:t xml:space="preserve">in the IAM context; ARK-458 already tested exact-action-binding.</w:t>
      </w:r>
    </w:p>
    <w:p>
      <w:pPr>
        <w:numPr>
          <w:ilvl w:val="0"/>
          <w:numId w:val="1004"/>
        </w:numPr>
        <w:pStyle w:val="Compact"/>
      </w:pPr>
      <w:r>
        <w:t xml:space="preserve">Results are bounded to this scenario model, these arms, and this seed family.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claim</w:t>
      </w:r>
      <w:r>
        <w:t xml:space="preserve"> </w:t>
      </w:r>
      <w:r>
        <w:t xml:space="preserve">that this experiment legally validates any patent claim or certifies RF-100 conformance.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Published under the Remnant Fieldworks Standing Covenant (preregister → lock → execute → publish all outcomes). To God be the glory. Proof Before Power. Verification Before Execution.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2026-07-18T18:44:00Z</dcterms:created>
  <dcterms:modified xsi:type="dcterms:W3CDTF">2026-07-18T18:44:00Z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