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1215ee5b1964b54fb3f0028b8d643c90f17eac"/>
    <w:p>
      <w:pPr>
        <w:pStyle w:val="Heading1"/>
      </w:pPr>
      <w:r>
        <w:t xml:space="preserve">ARK-498 — Networked Production-Like Performance Report</w:t>
      </w:r>
    </w:p>
    <w:p>
      <w:pPr>
        <w:pStyle w:val="Heading1"/>
      </w:pPr>
      <w:bookmarkStart w:id="20" w:name="X61ab6044cf9945ade295070d7e231007a1092c4"/>
      <w:r>
        <w:t xml:space="preserve">PRODUCTION-LIKE OVERHEAD CHARACTERIZATION · NOT A BENCHMARK CERTIFICATION · NOT A PRODUCTION SLA</w:t>
      </w:r>
      <w:bookmarkEnd w:id="20"/>
    </w:p>
    <w:p>
      <w:pPr>
        <w:pStyle w:val="FirstParagraph"/>
      </w:pPr>
      <w:r>
        <w:rPr>
          <w:bCs/>
          <w:b/>
        </w:rPr>
        <w:t xml:space="preserve">Experiment:</w:t>
      </w:r>
      <w:r>
        <w:t xml:space="preserve"> </w:t>
      </w:r>
      <w:r>
        <w:t xml:space="preserve">ARK-498</w:t>
      </w:r>
      <w:r>
        <w:t xml:space="preserve"> </w:t>
      </w:r>
      <w:r>
        <w:rPr>
          <w:bCs/>
          <w:b/>
        </w:rPr>
        <w:t xml:space="preserve">Preregistration:</w:t>
      </w:r>
      <w:r>
        <w:t xml:space="preserve"> </w:t>
      </w:r>
      <w:r>
        <w:rPr>
          <w:rStyle w:val="VerbatimChar"/>
        </w:rPr>
        <w:t xml:space="preserve">ARK-493-498-PREREGISTRATION-v1.1.md</w:t>
      </w:r>
      <w:r>
        <w:t xml:space="preserve"> </w:t>
      </w:r>
      <w:r>
        <w:t xml:space="preserve">(§14), SHA-256 verified at run time</w:t>
      </w:r>
      <w:r>
        <w:t xml:space="preserve"> </w:t>
      </w:r>
      <w:r>
        <w:rPr>
          <w:bCs/>
          <w:b/>
        </w:rPr>
        <w:t xml:space="preserve">Decision:</w:t>
      </w:r>
      <w:r>
        <w:t xml:space="preserve"> </w:t>
      </w:r>
      <w:r>
        <w:t xml:space="preserve">EXPERIMENT-PASS (all six hard criteria met)</w:t>
      </w:r>
      <w:r>
        <w:t xml:space="preserve"> </w:t>
      </w:r>
      <w:r>
        <w:rPr>
          <w:bCs/>
          <w:b/>
        </w:rPr>
        <w:t xml:space="preserve">Raw data:</w:t>
      </w:r>
      <w:r>
        <w:t xml:space="preserve"> </w:t>
      </w:r>
      <w:r>
        <w:rPr>
          <w:rStyle w:val="VerbatimChar"/>
        </w:rPr>
        <w:t xml:space="preserve">results/ark498_metrics.json</w:t>
      </w:r>
    </w:p>
    <w:p>
      <w:r>
        <w:pict>
          <v:rect style="width:0;height:1.5pt" o:hralign="center" o:hrstd="t" o:hr="t"/>
        </w:pict>
      </w:r>
    </w:p>
    <w:bookmarkStart w:id="21" w:name="reading-this-report-honestly"/>
    <w:p>
      <w:pPr>
        <w:pStyle w:val="Heading2"/>
      </w:pPr>
      <w:r>
        <w:t xml:space="preserve">0. Reading this report honestly</w:t>
      </w:r>
    </w:p>
    <w:p>
      <w:pPr>
        <w:pStyle w:val="FirstParagraph"/>
      </w:pPr>
      <w:r>
        <w:t xml:space="preserve">The numbers below characterize the</w:t>
      </w:r>
      <w:r>
        <w:t xml:space="preserve"> </w:t>
      </w:r>
      <w:r>
        <w:rPr>
          <w:bCs/>
          <w:b/>
        </w:rPr>
        <w:t xml:space="preserve">overhead of ExecutionProof verification in a production-like networked environment</w:t>
      </w:r>
      <w:r>
        <w:t xml:space="preserve">. They are</w:t>
      </w:r>
      <w:r>
        <w:t xml:space="preserve"> </w:t>
      </w:r>
      <w:r>
        <w:rPr>
          <w:bCs/>
          <w:b/>
        </w:rPr>
        <w:t xml:space="preserve">measured values with disclosed methodology</w:t>
      </w:r>
      <w:r>
        <w:t xml:space="preserve">, not thresholds, not certifications, and</w:t>
      </w:r>
      <w:r>
        <w:t xml:space="preserve"> </w:t>
      </w:r>
      <w:r>
        <w:rPr>
          <w:bCs/>
          <w:b/>
        </w:rPr>
        <w:t xml:space="preserve">not a production SLA</w:t>
      </w:r>
      <w:r>
        <w:t xml:space="preserve">. Every request paid a deliberately injected, constant dependency cost (policy lookup 50 ms + authority lookup 30 ms = 80 ms floor) plus real ProofRecord disk I/O. Latency is therefore</w:t>
      </w:r>
      <w:r>
        <w:t xml:space="preserve"> </w:t>
      </w:r>
      <w:r>
        <w:rPr>
          <w:iCs/>
          <w:i/>
        </w:rPr>
        <w:t xml:space="preserve">dominated by the simulated dependencies by design</w:t>
      </w:r>
      <w:r>
        <w:t xml:space="preserve">;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extrapolate these figures to production, and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compare them to the prior in-process microsecond testbed (ARK-483–492) — different architecture, different scope.</w:t>
      </w:r>
    </w:p>
    <w:p>
      <w:r>
        <w:pict>
          <v:rect style="width:0;height:1.5pt" o:hralign="center" o:hrstd="t" o:hr="t"/>
        </w:pict>
      </w:r>
    </w:p>
    <w:bookmarkEnd w:id="21"/>
    <w:bookmarkStart w:id="22" w:name="environment-methodology"/>
    <w:p>
      <w:pPr>
        <w:pStyle w:val="Heading2"/>
      </w:pPr>
      <w:r>
        <w:t xml:space="preserve">1. Environment &amp; methodology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HTTP server on</w:t>
            </w:r>
            <w:r>
              <w:t xml:space="preserve"> </w:t>
            </w:r>
            <w:r>
              <w:rPr>
                <w:rStyle w:val="VerbatimChar"/>
              </w:rPr>
              <w:t xml:space="preserve">127.0.0.1:5050</w:t>
            </w:r>
            <w:r>
              <w:t xml:space="preserve">, real loopback TCP socket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over loopback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Policy-lookup latency (simulated)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ms (</w:t>
            </w:r>
            <w:r>
              <w:rPr>
                <w:rStyle w:val="VerbatimChar"/>
              </w:rPr>
              <w:t xml:space="preserve">time.sleep(0.050)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Authority-lookup latency (simulated)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ms (</w:t>
            </w:r>
            <w:r>
              <w:rPr>
                <w:rStyle w:val="VerbatimChar"/>
              </w:rPr>
              <w:t xml:space="preserve">time.sleep(0.030)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ProofRecord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disk I/O (not mocked)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 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time.monotonic()</w:t>
            </w:r>
            <w:r>
              <w:t xml:space="preserve">, measured client-side end-to-end, reported in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Guard-B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deferred/batch, flushed at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  <w:r>
              <w:t xml:space="preserve">; signatures independently re-verified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resumed the ARK-493..497 hash chain via</w:t>
            </w:r>
            <w:r>
              <w:t xml:space="preserve"> </w:t>
            </w:r>
            <w:r>
              <w:rPr>
                <w:rStyle w:val="VerbatimChar"/>
              </w:rPr>
              <w:t xml:space="preserve">load_tail()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~1,810 across 9 scenarios</w:t>
            </w:r>
          </w:p>
        </w:tc>
      </w:tr>
    </w:tbl>
    <w:p>
      <w:pPr>
        <w:pStyle w:val="BodyText"/>
      </w:pPr>
      <w:r>
        <w:t xml:space="preserve">Percentiles computed by linear interpolation over the sorted latency sample of each scenario. Throughput computed over the</w:t>
      </w:r>
      <w:r>
        <w:t xml:space="preserve"> </w:t>
      </w:r>
      <w:r>
        <w:rPr>
          <w:bCs/>
          <w:b/>
        </w:rPr>
        <w:t xml:space="preserve">middle 60%</w:t>
      </w:r>
      <w:r>
        <w:t xml:space="preserve"> </w:t>
      </w:r>
      <w:r>
        <w:t xml:space="preserve">of request-completion timestamps (dropping the first and last 20%) to exclude ramp-up/drain.</w:t>
      </w:r>
    </w:p>
    <w:p>
      <w:r>
        <w:pict>
          <v:rect style="width:0;height:1.5pt" o:hralign="center" o:hrstd="t" o:hr="t"/>
        </w:pict>
      </w:r>
    </w:p>
    <w:bookmarkEnd w:id="22"/>
    <w:bookmarkStart w:id="23" w:name="X047beb6874f088649bbade34aa3bc93a66496a5"/>
    <w:p>
      <w:pPr>
        <w:pStyle w:val="Heading2"/>
      </w:pPr>
      <w:r>
        <w:t xml:space="preserve">2. Latency &amp; throughput characterization (measured)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Cold-start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S001 (1 request)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 (100 sequential)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83.9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p50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 (10 clients × 50 = 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Sustained throughput (mid 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S004 (5 clients × 200 = 1,000)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59.7 req/s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 (server errors, not DENY)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S002 / S003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 / 0.000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The ~84 ms median tracks the 80 ms injected dependency floor plus ~4 ms of gate + serialization + signing + hashing + loopback overhead. The tight p50→p99 spread (84→94 ms) under 10 concurrent clients indicates the verification path adds low and stable overhead</w:t>
      </w:r>
      <w:r>
        <w:t xml:space="preserve"> </w:t>
      </w:r>
      <w:r>
        <w:rPr>
          <w:bCs/>
          <w:b/>
        </w:rPr>
        <w:t xml:space="preserve">on top of</w:t>
      </w:r>
      <w:r>
        <w:t xml:space="preserve"> </w:t>
      </w:r>
      <w:r>
        <w:t xml:space="preserve">the dependency cost in this environment. Throughput (~60 req/s at 5 clients) is the arithmetic consequence of the 80 ms serial dependency floor under this concurrency, not a capacity ceiling of the gate.</w:t>
      </w:r>
    </w:p>
    <w:p>
      <w:r>
        <w:pict>
          <v:rect style="width:0;height:1.5pt" o:hralign="center" o:hrstd="t" o:hr="t"/>
        </w:pict>
      </w:r>
    </w:p>
    <w:bookmarkEnd w:id="23"/>
    <w:bookmarkStart w:id="27" w:name="Xf46b390f447449728f0fd73f68439ad2e1a2571"/>
    <w:p>
      <w:pPr>
        <w:pStyle w:val="Heading2"/>
      </w:pPr>
      <w:r>
        <w:t xml:space="preserve">3. Hard pass/fail criteria (FROZEN v1.1) — all met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4"/>
        <w:gridCol w:w="2451"/>
        <w:gridCol w:w="1885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P-498-1</w:t>
            </w:r>
            <w:r>
              <w:t xml:space="preserve"> </w:t>
            </w:r>
            <w:r>
              <w:t xml:space="preserve">Fail-closed under 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count = 0 in S005/S006/S007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S005 leak 0 (fail-closed 20/20), S006 leak 0 (20/20), S007 leak 0 (20/20)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P-498-2</w:t>
            </w:r>
            <w:r>
              <w:t xml:space="preserve"> </w:t>
            </w:r>
            <w:r>
              <w:t xml:space="preserve">Zero duplicate 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S009 duplicate executions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unique keys × 10 sends = 50 requests →</w:t>
            </w:r>
            <w:r>
              <w:t xml:space="preserve"> </w:t>
            </w:r>
            <w:r>
              <w:rPr>
                <w:bCs/>
                <w:b/>
              </w:rPr>
              <w:t xml:space="preserve">5 executed</w:t>
            </w:r>
            <w:r>
              <w:t xml:space="preserve"> </w:t>
            </w:r>
            <w:r>
              <w:t xml:space="preserve">entries, duplicates 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P-498-3</w:t>
            </w:r>
            <w:r>
              <w:t xml:space="preserve"> </w:t>
            </w:r>
            <w:r>
              <w:t xml:space="preserve">ProofRecord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accepted requests get one complete terminal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1,766 / 1,766 complete =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P-498-4</w:t>
            </w:r>
            <w:r>
              <w:t xml:space="preserve"> </w:t>
            </w:r>
            <w:r>
              <w:t xml:space="preserve">Error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error → HOLD/DENY (never ALLOW) with a ledger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server_errors = 0, ALLOW-on-error 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P-498-5</w:t>
            </w:r>
            <w:r>
              <w:t xml:space="preserve"> </w:t>
            </w:r>
            <w:r>
              <w:t xml:space="preserve">Recovery: no queued-denied auto-execute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automatic re-executions of denied requests after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S008: 20 denied-window keys,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auto re-executions; recovery via new keys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P-498-6</w:t>
            </w:r>
            <w:r>
              <w:t xml:space="preserve"> </w:t>
            </w:r>
            <w:r>
              <w:t xml:space="preserve">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Guard-B verifies 100% of legitimate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1,766 / 1,766 verified =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</w:tr>
    </w:tbl>
    <w:bookmarkStart w:id="24" w:name="fail-closed-detail-s005-s006-s007"/>
    <w:p>
      <w:pPr>
        <w:pStyle w:val="Heading3"/>
      </w:pPr>
      <w:r>
        <w:t xml:space="preserve">3.1 Fail-closed detail (S005 / S006 / S007)</w:t>
      </w:r>
    </w:p>
    <w:p>
      <w:pPr>
        <w:pStyle w:val="FirstParagraph"/>
      </w:pPr>
      <w:r>
        <w:t xml:space="preserve">Each scenario ran 40 requests: 20 normal, then a sustained dependency failure injected at request 21.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0"/>
        <w:gridCol w:w="1710"/>
        <w:gridCol w:w="2250"/>
        <w:gridCol w:w="126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Failure-window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(leak)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(fail-closed)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Zero ALLOW decisions occurred while any named dependency was unavailable. When the store dependency is flagged unavailable, the gate resolves the would-be ALLOW to a fail-closed DENY and still persists the DENY ProofRecord (so the decision remains fully accounted for under P-498-4) — no side effect executes.</w:t>
      </w:r>
    </w:p>
    <w:bookmarkEnd w:id="24"/>
    <w:bookmarkStart w:id="25" w:name="recovery-detail-s008"/>
    <w:p>
      <w:pPr>
        <w:pStyle w:val="Heading3"/>
      </w:pPr>
      <w:r>
        <w:t xml:space="preserve">3.2 Recovery detail (S008)</w:t>
      </w:r>
    </w:p>
    <w:p>
      <w:pPr>
        <w:numPr>
          <w:ilvl w:val="0"/>
          <w:numId w:val="1001"/>
        </w:numPr>
        <w:pStyle w:val="Compact"/>
      </w:pPr>
      <w:r>
        <w:t xml:space="preserve">40 requests: requests 1–20 issued during an authority-lookup failure; dependency restored before request 21; requests 21–40 issued normally. Every request used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idempotency key.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Recovery time (restoration → first successful ALLOW): 83.9 ms</w:t>
      </w:r>
      <w:r>
        <w:t xml:space="preserve"> </w:t>
      </w:r>
      <w:r>
        <w:t xml:space="preserve">— i.e. the first post-restoration request succeeded on its normal dependency path.</w:t>
      </w:r>
    </w:p>
    <w:p>
      <w:pPr>
        <w:numPr>
          <w:ilvl w:val="0"/>
          <w:numId w:val="1001"/>
        </w:numPr>
        <w:pStyle w:val="Compact"/>
      </w:pPr>
      <w:r>
        <w:t xml:space="preserve">First post-recovery ALLOW ProofRecord id:</w:t>
      </w:r>
      <w:r>
        <w:t xml:space="preserve"> </w:t>
      </w:r>
      <w:r>
        <w:rPr>
          <w:rStyle w:val="VerbatimChar"/>
        </w:rPr>
        <w:t xml:space="preserve">979b04ac2bf11b868b7f3ca39e4d23a2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Executed side-effects attributable to S008: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(exactly the 20 post-recovery requests). Denied-window requests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auto-retried: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re-executions.</w:t>
      </w:r>
    </w:p>
    <w:bookmarkEnd w:id="25"/>
    <w:bookmarkStart w:id="26" w:name="duplicate-execution-protection-s009"/>
    <w:p>
      <w:pPr>
        <w:pStyle w:val="Heading3"/>
      </w:pPr>
      <w:r>
        <w:t xml:space="preserve">3.3 Duplicate-execution protection (S009)</w:t>
      </w:r>
    </w:p>
    <w:p>
      <w:pPr>
        <w:numPr>
          <w:ilvl w:val="0"/>
          <w:numId w:val="1002"/>
        </w:numPr>
        <w:pStyle w:val="Compact"/>
      </w:pPr>
      <w:r>
        <w:t xml:space="preserve">5 clients, each submitting its own single idempotency key</w:t>
      </w:r>
      <w:r>
        <w:t xml:space="preserve"> </w:t>
      </w:r>
      <w:r>
        <w:rPr>
          <w:bCs/>
          <w:b/>
        </w:rPr>
        <w:t xml:space="preserve">10 times</w:t>
      </w:r>
      <w:r>
        <w:t xml:space="preserve"> </w:t>
      </w:r>
      <w:r>
        <w:t xml:space="preserve">concurrently (50 total requests, 5 unique keys).</w:t>
      </w:r>
    </w:p>
    <w:p>
      <w:pPr>
        <w:numPr>
          <w:ilvl w:val="0"/>
          <w:numId w:val="1002"/>
        </w:numPr>
        <w:pStyle w:val="Compact"/>
      </w:pPr>
      <w:r>
        <w:t xml:space="preserve">Executed side-effect ledger entries for S009: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(exactly one per unique key). Duplicate executions beyond first: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Per-key serialization is enforced by a per-idempotency-key lock at the enforcement point; distinct keys proceed fully in parallel.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fd3f2905e2e808576ea436066a6353736dc571"/>
    <w:p>
      <w:pPr>
        <w:pStyle w:val="Heading2"/>
      </w:pPr>
      <w:r>
        <w:t xml:space="preserve">4. Independent verification audit (all ARK-498 records)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Audit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ARK-498 ProofRecords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ProofRecord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records (all required fields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1,766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Guard-B independent signature/verification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1,766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Guard-B isolated-import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permitted_only = true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gate</w:t>
            </w:r>
            <w:r>
              <w:t xml:space="preserve">/</w:t>
            </w:r>
            <w:r>
              <w:rPr>
                <w:rStyle w:val="VerbatimChar"/>
              </w:rPr>
              <w:t xml:space="preserve">enforcement</w:t>
            </w:r>
            <w:r>
              <w:t xml:space="preserve">/</w:t>
            </w:r>
            <w:r>
              <w:rPr>
                <w:rStyle w:val="VerbatimChar"/>
              </w:rPr>
              <w:t xml:space="preserve">tools</w:t>
            </w:r>
            <w:r>
              <w:t xml:space="preserve">/</w:t>
            </w:r>
            <w:r>
              <w:rPr>
                <w:rStyle w:val="VerbatimChar"/>
              </w:rPr>
              <w:t xml:space="preserve">guards</w:t>
            </w:r>
            <w:r>
              <w:t xml:space="preserve">/</w:t>
            </w: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imports)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hreats-to-validity-disclosures"/>
    <w:p>
      <w:pPr>
        <w:pStyle w:val="Heading2"/>
      </w:pPr>
      <w:r>
        <w:t xml:space="preserve">5. Threats to validity / disclosures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Dependency latencies are simulated constants</w:t>
      </w:r>
      <w:r>
        <w:t xml:space="preserve">, not real network/database round-trips. Real deployments will differ.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Loopback TCP</w:t>
      </w:r>
      <w:r>
        <w:t xml:space="preserve"> </w:t>
      </w:r>
      <w:r>
        <w:t xml:space="preserve">removes real network variance (NIC, switch, TLS). A real socket boundary is crossed, but not a real network.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host</w:t>
      </w:r>
      <w:r>
        <w:t xml:space="preserve">, testbed ed25519 key derived from a fixed seed (</w:t>
      </w:r>
      <w:r>
        <w:rPr>
          <w:rStyle w:val="VerbatimChar"/>
        </w:rPr>
        <w:t xml:space="preserve">b'\x00'*32</w:t>
      </w:r>
      <w:r>
        <w:t xml:space="preserve">) — a testbed key, never a production secret.</w:t>
      </w:r>
    </w:p>
    <w:p>
      <w:pPr>
        <w:numPr>
          <w:ilvl w:val="0"/>
          <w:numId w:val="1003"/>
        </w:numPr>
        <w:pStyle w:val="Compact"/>
      </w:pPr>
      <w:r>
        <w:t xml:space="preserve">Throughput reflects the injected 80 ms serial floor at the tested concurrency,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gate’s maximum capacity.</w:t>
      </w:r>
    </w:p>
    <w:p>
      <w:pPr>
        <w:numPr>
          <w:ilvl w:val="0"/>
          <w:numId w:val="1003"/>
        </w:numPr>
        <w:pStyle w:val="Compact"/>
      </w:pPr>
      <w:r>
        <w:t xml:space="preserve">These results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transfer to production and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supersede or compare to ARK-483–492.</w:t>
      </w:r>
    </w:p>
    <w:p>
      <w:pPr>
        <w:pStyle w:val="FirstParagraph"/>
      </w:pPr>
      <w:r>
        <w:rPr>
          <w:bCs/>
          <w:b/>
        </w:rPr>
        <w:t xml:space="preserve">Bottom line:</w:t>
      </w:r>
      <w:r>
        <w:t xml:space="preserve"> </w:t>
      </w:r>
      <w:r>
        <w:t xml:space="preserve">In a production-like networked configuration, ExecutionProof verification held every safety property under load and dependency failure (fail-closed, no duplicate execution, complete and independently-verifiable proofs, clean recovery) while adding low, stable overhead</w:t>
      </w:r>
      <w:r>
        <w:t xml:space="preserve"> </w:t>
      </w:r>
      <w:r>
        <w:rPr>
          <w:bCs/>
          <w:b/>
        </w:rPr>
        <w:t xml:space="preserve">on top of</w:t>
      </w:r>
      <w:r>
        <w:t xml:space="preserve"> </w:t>
      </w:r>
      <w:r>
        <w:t xml:space="preserve">the simulated dependency cost. The latency/throughput figures are honest characterization data and are explicitly not a benchmark certification or a production SLA.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2026-07-20T17:41:11Z</dcterms:created>
  <dcterms:modified xsi:type="dcterms:W3CDTF">2026-07-20T17:41:11Z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