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8bd71e0093a469ee64a1d301397f4373a7ba0a6"/>
    <w:p>
      <w:pPr>
        <w:pStyle w:val="Heading1"/>
      </w:pPr>
      <w:r>
        <w:t xml:space="preserve">ARK-457 — Cross-Context Authorization Replay (Confused Deputy)</w:t>
      </w:r>
    </w:p>
    <w:bookmarkStart w:id="20" w:name="results-recorded-as-executed"/>
    <w:p>
      <w:pPr>
        <w:pStyle w:val="Heading2"/>
      </w:pPr>
      <w:r>
        <w:t xml:space="preserve">RESULTS (recorded as executed)</w:t>
      </w:r>
    </w:p>
    <w:p>
      <w:pPr>
        <w:pStyle w:val="FirstParagraph"/>
      </w:pPr>
      <w:r>
        <w:rPr>
          <w:bCs/>
          <w:b/>
        </w:rPr>
        <w:t xml:space="preserve">Experiment ID:</w:t>
      </w:r>
      <w:r>
        <w:t xml:space="preserve"> </w:t>
      </w:r>
      <w:r>
        <w:t xml:space="preserve">ARK-457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(enterprise-failure-mode phase)</w:t>
      </w:r>
      <w:r>
        <w:br/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cryptography)</w:t>
      </w:r>
      <w:r>
        <w:br/>
      </w:r>
      <w:r>
        <w:rPr>
          <w:bCs/>
          <w:b/>
        </w:rPr>
        <w:t xml:space="preserve">Execution window:</w:t>
      </w:r>
      <w:r>
        <w:t xml:space="preserve"> </w:t>
      </w:r>
      <w:r>
        <w:t xml:space="preserve">2026-07-18T00:19:46Z to 2026-07-18T00:19:46Z (UTC)</w:t>
      </w:r>
      <w:r>
        <w:br/>
      </w:r>
      <w:r>
        <w:rPr>
          <w:bCs/>
          <w:b/>
        </w:rP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ARK-457 tested whether an authorization guard binds an authorization to its issuing context and refuses to let it be</w:t>
      </w:r>
      <w:r>
        <w:t xml:space="preserve"> </w:t>
      </w:r>
      <w:r>
        <w:rPr>
          <w:iCs/>
          <w:i/>
        </w:rPr>
        <w:t xml:space="preserve">replayed</w:t>
      </w:r>
      <w:r>
        <w:t xml:space="preserve"> </w:t>
      </w:r>
      <w:r>
        <w:t xml:space="preserve">under a different context — the classic</w:t>
      </w:r>
      <w:r>
        <w:t xml:space="preserve"> </w:t>
      </w:r>
      <w:r>
        <w:rPr>
          <w:bCs/>
          <w:b/>
        </w:rPr>
        <w:t xml:space="preserve">confused-deputy</w:t>
      </w:r>
      <w:r>
        <w:t xml:space="preserve"> </w:t>
      </w:r>
      <w:r>
        <w:t xml:space="preserve">failure mode.</w:t>
      </w:r>
    </w:p>
    <w:p>
      <w:pPr>
        <w:pStyle w:val="BodyText"/>
      </w:pPr>
      <w:r>
        <w:rPr>
          <w:bCs/>
          <w:b/>
        </w:rPr>
        <w:t xml:space="preserve">Question:</w:t>
      </w:r>
      <w:r>
        <w:t xml:space="preserve"> </w:t>
      </w:r>
      <w:r>
        <w:t xml:space="preserve">When an authorization is issued bound to a specific context (tenant, session, resource, audience, environment), can it be replayed to authorize execution under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context? A correct guard must ALLOW only when the execution context matches the authorization’s bound context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on every dimension, and DENY otherwise — including superficial</w:t>
      </w:r>
      <w:r>
        <w:t xml:space="preserve"> </w:t>
      </w:r>
      <w:r>
        <w:t xml:space="preserve">“</w:t>
      </w:r>
      <w:r>
        <w:t xml:space="preserve">confusable</w:t>
      </w:r>
      <w:r>
        <w:t xml:space="preserve">”</w:t>
      </w:r>
      <w:r>
        <w:t xml:space="preserve"> </w:t>
      </w:r>
      <w:r>
        <w:t xml:space="preserve">near-matches.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rPr>
          <w:bCs/>
          <w:b/>
        </w:rPr>
        <w:t xml:space="preserve">No — replay is refused.</w:t>
      </w:r>
      <w:r>
        <w:t xml:space="preserve"> </w:t>
      </w:r>
      <w:r>
        <w:t xml:space="preserve">Both independently implemented guards (V1 JavaScript, V2 Python) allowed execution only when all five binding dimensions matched exactly (100%), and refused every cross-context replay (100%) — including confusable near-matches designed to fool a lenient comparator (trailing space, case flip, zero-width character, homoglyph). Mutual agreement was 100% across all 800 evaluation decisions.</w:t>
      </w:r>
    </w:p>
    <w:p>
      <w:r>
        <w:pict>
          <v:rect style="width:0;height:1.5pt" o:hralign="center" o:hrstd="t" o:hr="t"/>
        </w:pict>
      </w:r>
    </w:p>
    <w:bookmarkEnd w:id="21"/>
    <w:bookmarkStart w:id="22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rPr>
          <w:bCs/>
          <w:b/>
        </w:rPr>
        <w:t xml:space="preserve">Structure:</w:t>
      </w:r>
      <w:r>
        <w:t xml:space="preserve"> </w:t>
      </w: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</w:p>
    <w:p>
      <w:pPr>
        <w:pStyle w:val="BodyText"/>
      </w:pPr>
      <w:r>
        <w:rPr>
          <w:bCs/>
          <w:b/>
        </w:rPr>
        <w:t xml:space="preserve">Context tuple (binding dimensions):</w:t>
      </w:r>
      <w:r>
        <w:t xml:space="preserve"> </w:t>
      </w:r>
      <w:r>
        <w:t xml:space="preserve">Every authorization is bound to a 5-dimension context tuple; execution presents its own tuple.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440"/>
        <w:gridCol w:w="3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boundary / customer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tenant-0007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/ token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sess-0002af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wallet-0031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API/service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api.reporting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dr-failover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 procedure (both guards):</w:t>
      </w:r>
      <w:r>
        <w:t xml:space="preserve"> </w:t>
      </w:r>
      <w:r>
        <w:t xml:space="preserve">1. For each of the five dimensions: if the authorization’s bound value and the execution’s context value are not both strings, or are not</w:t>
      </w:r>
      <w:r>
        <w:t xml:space="preserve"> </w:t>
      </w:r>
      <w:r>
        <w:rPr>
          <w:bCs/>
          <w:b/>
        </w:rPr>
        <w:t xml:space="preserve">byte/code-point exactly equal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DENY</w:t>
      </w:r>
      <w:r>
        <w:t xml:space="preserve"> </w:t>
      </w:r>
      <w:r>
        <w:t xml:space="preserve">(authorization does not transfer across contexts).</w:t>
      </w:r>
      <w:r>
        <w:t xml:space="preserve"> </w:t>
      </w:r>
      <w:r>
        <w:t xml:space="preserve">2. If all five dimensions match exactly →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 normalization, no case folding, no whitespace trimming, no zero-width stripping, no homoglyph mapping.</w:t>
      </w:r>
      <w:r>
        <w:t xml:space="preserve"> </w:t>
      </w:r>
      <w:r>
        <w:t xml:space="preserve">A confusable near-match is a</w:t>
      </w:r>
      <w:r>
        <w:t xml:space="preserve"> </w:t>
      </w:r>
      <w:r>
        <w:rPr>
          <w:bCs/>
          <w:b/>
        </w:rPr>
        <w:t xml:space="preserve">MISMATCH → DENY</w:t>
      </w:r>
      <w:r>
        <w:t xml:space="preserve"> </w:t>
      </w:r>
      <w:r>
        <w:t xml:space="preserve">by construction.</w:t>
      </w:r>
    </w:p>
    <w:p>
      <w:pPr>
        <w:pStyle w:val="BodyText"/>
      </w:pPr>
      <w:r>
        <w:rPr>
          <w:bCs/>
          <w:b/>
        </w:rPr>
        <w:t xml:space="preserve">Arms:</w:t>
      </w:r>
      <w:r>
        <w:t xml:space="preserve"> </w:t>
      </w:r>
      <w:r>
        <w:t xml:space="preserve">| Arm | Condition | Mismatch | Expected |</w:t>
      </w:r>
      <w:r>
        <w:t xml:space="preserve"> </w:t>
      </w:r>
      <w:r>
        <w:t xml:space="preserve">|—–|———–|———-|———-|</w:t>
      </w:r>
      <w:r>
        <w:t xml:space="preserve"> </w:t>
      </w:r>
      <w:r>
        <w:t xml:space="preserve">| 1 | BASELINE-exact-context-match | none (all 5 dims identical) | ALLOW |</w:t>
      </w:r>
      <w:r>
        <w:t xml:space="preserve"> </w:t>
      </w:r>
      <w:r>
        <w:t xml:space="preserve">| 2 | CROSS-TENANT |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differs | DENY |</w:t>
      </w:r>
      <w:r>
        <w:t xml:space="preserve"> </w:t>
      </w:r>
      <w:r>
        <w:t xml:space="preserve">| 3 | CROSS-SESSION |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differs | DENY |</w:t>
      </w:r>
      <w:r>
        <w:t xml:space="preserve"> </w:t>
      </w:r>
      <w:r>
        <w:t xml:space="preserve">| 4 | CROSS-RESOURCE |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differs | DENY |</w:t>
      </w:r>
      <w:r>
        <w:t xml:space="preserve"> </w:t>
      </w:r>
      <w:r>
        <w:t xml:space="preserve">| 5 | CROSS-AUDIENCE |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 </w:t>
      </w:r>
      <w:r>
        <w:t xml:space="preserve">differs | DENY |</w:t>
      </w:r>
      <w:r>
        <w:t xml:space="preserve"> </w:t>
      </w:r>
      <w:r>
        <w:t xml:space="preserve">| 6 | CROSS-ENVIRONMENT |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differs | DENY |</w:t>
      </w:r>
      <w:r>
        <w:t xml:space="preserve"> </w:t>
      </w:r>
      <w:r>
        <w:t xml:space="preserve">| 7 | MULTI-DIMENSION-mismatch | ≥ 2 dims differ | DENY |</w:t>
      </w:r>
      <w:r>
        <w:t xml:space="preserve"> </w:t>
      </w:r>
      <w:r>
        <w:t xml:space="preserve">| 8 | CONFUSABLE-near-match | exactly 1 dim differs by a superficial variant (trailing space, case flip, zero-width char, homoglyph) | DENY |</w:t>
      </w:r>
    </w:p>
    <w:p>
      <w:r>
        <w:pict>
          <v:rect style="width:0;height:1.5pt" o:hralign="center" o:hrstd="t" o:hr="t"/>
        </w:pict>
      </w:r>
    </w:p>
    <w:bookmarkEnd w:id="22"/>
    <w:bookmarkStart w:id="25" w:name="primary-results"/>
    <w:p>
      <w:pPr>
        <w:pStyle w:val="Heading2"/>
      </w:pPr>
      <w:r>
        <w:t xml:space="preserve">Primary Results</w:t>
      </w:r>
    </w:p>
    <w:bookmarkStart w:id="23" w:name="pass-criteria-preregistered"/>
    <w:p>
      <w:pPr>
        <w:pStyle w:val="Heading3"/>
      </w:pPr>
      <w:r>
        <w:t xml:space="preserve">Pass Criteria (preregistered)</w:t>
      </w:r>
    </w:p>
    <w:p>
      <w:pPr>
        <w:pStyle w:val="FirstParagraph"/>
      </w:pPr>
      <w:r>
        <w:t xml:space="preserve">Let: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g_allow_exact</w:t>
      </w:r>
      <w:r>
        <w:t xml:space="preserve"> </w:t>
      </w:r>
      <w:r>
        <w:t xml:space="preserve">= ALLOW rate in Arm 1 (exact context match)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g_deny_crosscontext_min</w:t>
      </w:r>
      <w:r>
        <w:t xml:space="preserve"> </w:t>
      </w:r>
      <w:r>
        <w:t xml:space="preserve">= minimum DENY rate across Arms 2–8 (cross-context replay)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g_margin</w:t>
      </w:r>
      <w:r>
        <w:t xml:space="preserve"> </w:t>
      </w:r>
      <w:r>
        <w:t xml:space="preserve">= min(g_allow_exact, g_deny_crosscontext_min) − 0.05</w:t>
      </w:r>
    </w:p>
    <w:p>
      <w:pPr>
        <w:pStyle w:val="BodyText"/>
      </w:pPr>
      <w:r>
        <w:rPr>
          <w:bCs/>
          <w:b/>
        </w:rPr>
        <w:t xml:space="preserve">Criteria: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C1:</w:t>
      </w:r>
      <w:r>
        <w:t xml:space="preserve"> </w:t>
      </w:r>
      <w:r>
        <w:t xml:space="preserve">g_allow_exact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C2:</w:t>
      </w:r>
      <w:r>
        <w:t xml:space="preserve"> </w:t>
      </w:r>
      <w:r>
        <w:t xml:space="preserve">g_deny_crosscontext_min ≥ 0.95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C3:</w:t>
      </w:r>
      <w:r>
        <w:t xml:space="preserve"> </w:t>
      </w:r>
      <w:r>
        <w:t xml:space="preserve">g_margin ≥ 0.90</w:t>
      </w:r>
    </w:p>
    <w:bookmarkEnd w:id="23"/>
    <w:bookmarkStart w:id="24" w:name="measured-values"/>
    <w:p>
      <w:pPr>
        <w:pStyle w:val="Heading3"/>
      </w:pPr>
      <w:r>
        <w:t xml:space="preserve">Measured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g_allow_exact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g_deny_crosscontext_min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g_margin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All three criteria met.</w:t>
      </w:r>
      <w:r>
        <w:t xml:space="preserve"> </w:t>
      </w: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er-arm-results"/>
    <w:p>
      <w:pPr>
        <w:pStyle w:val="Heading2"/>
      </w:pPr>
      <w:r>
        <w:t xml:space="preserve">Per-Arm Results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18"/>
        <w:gridCol w:w="1361"/>
        <w:gridCol w:w="1237"/>
        <w:gridCol w:w="866"/>
        <w:gridCol w:w="742"/>
        <w:gridCol w:w="742"/>
        <w:gridCol w:w="2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V1–V2 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BASELINE-exact-context-match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MULTI-DIMENSION-mismatch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CONFUSABLE-near-match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(100/100)</w:t>
            </w:r>
          </w:p>
        </w:tc>
      </w:tr>
    </w:tbl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 Arm 1 (exact match): ALLOW 100% — legitimate same-context executions proceed</w:t>
      </w:r>
      <w:r>
        <w:t xml:space="preserve"> </w:t>
      </w:r>
      <w:r>
        <w:t xml:space="preserve">- Arms 2–8 (cross-context): DENY 100% — authorization never transfers to a different context</w:t>
      </w:r>
      <w:r>
        <w:t xml:space="preserve"> </w:t>
      </w:r>
      <w:r>
        <w:t xml:space="preserve">- Arm 8 (confusable): DENY 100% — the guard is not fooled by strings that would collapse under naive normalization</w:t>
      </w:r>
      <w:r>
        <w:t xml:space="preserve"> </w:t>
      </w:r>
      <w:r>
        <w:t xml:space="preserve">- Perfect separation: no cross-context ALLOW, no false DENY of an exact match</w:t>
      </w:r>
      <w:r>
        <w:t xml:space="preserve"> </w:t>
      </w:r>
      <w:r>
        <w:t xml:space="preserve">- Zero HOLD emissions — the guard treats context mismatch as a hard DENY, not a borderline case</w:t>
      </w:r>
    </w:p>
    <w:p>
      <w:r>
        <w:pict>
          <v:rect style="width:0;height:1.5pt" o:hralign="center" o:hrstd="t" o:hr="t"/>
        </w:pict>
      </w:r>
    </w:p>
    <w:bookmarkEnd w:id="26"/>
    <w:bookmarkStart w:id="29" w:name="secondary-observations"/>
    <w:p>
      <w:pPr>
        <w:pStyle w:val="Heading2"/>
      </w:pPr>
      <w:r>
        <w:t xml:space="preserve">Secondary Observations</w:t>
      </w:r>
    </w:p>
    <w:bookmarkStart w:id="27" w:name="dual-guard-concordance"/>
    <w:p>
      <w:pPr>
        <w:pStyle w:val="Heading3"/>
      </w:pPr>
      <w:r>
        <w:t xml:space="preserve">Dual-Guard Concordance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Overall V1–V2 concordance:</w:t>
      </w:r>
      <w:r>
        <w:t xml:space="preserve"> </w:t>
      </w:r>
      <w:r>
        <w:t xml:space="preserve">100.00% (800/800 agreements)</w:t>
      </w:r>
    </w:p>
    <w:p>
      <w:pPr>
        <w:numPr>
          <w:ilvl w:val="0"/>
          <w:numId w:val="1001"/>
        </w:numPr>
        <w:pStyle w:val="Compact"/>
      </w:pPr>
      <w:r>
        <w:t xml:space="preserve">Both independently written guards (JavaScript strict</w:t>
      </w:r>
      <w:r>
        <w:t xml:space="preserve"> </w:t>
      </w:r>
      <w:r>
        <w:rPr>
          <w:rStyle w:val="VerbatimChar"/>
        </w:rPr>
        <w:t xml:space="preserve">!==</w:t>
      </w:r>
      <w:r>
        <w:t xml:space="preserve">, Python strict</w:t>
      </w:r>
      <w:r>
        <w:t xml:space="preserve"> </w:t>
      </w:r>
      <w:r>
        <w:rPr>
          <w:rStyle w:val="VerbatimChar"/>
        </w:rPr>
        <w:t xml:space="preserve">!=</w:t>
      </w:r>
      <w:r>
        <w:t xml:space="preserve">) agreed on every decision across all 800 scenarios</w:t>
      </w:r>
    </w:p>
    <w:p>
      <w:pPr>
        <w:numPr>
          <w:ilvl w:val="0"/>
          <w:numId w:val="1001"/>
        </w:numPr>
        <w:pStyle w:val="Compact"/>
      </w:pPr>
      <w:r>
        <w:t xml:space="preserve">Confirms the exact-match context-binding procedure is clear, deterministic, and implementable without ambiguity</w:t>
      </w:r>
    </w:p>
    <w:p>
      <w:pPr>
        <w:numPr>
          <w:ilvl w:val="0"/>
          <w:numId w:val="1001"/>
        </w:numPr>
        <w:pStyle w:val="Compact"/>
      </w:pPr>
      <w:r>
        <w:t xml:space="preserve">All scenario values were held within the Unicode BMP so JavaScript (UTF-16) and Python (code-point) exact-equality comparisons are identical — concordance reflects decision logic, not encoding artifacts</w:t>
      </w:r>
    </w:p>
    <w:bookmarkEnd w:id="27"/>
    <w:bookmarkStart w:id="28" w:name="no-cross-context-leakage"/>
    <w:p>
      <w:pPr>
        <w:pStyle w:val="Heading3"/>
      </w:pPr>
      <w:r>
        <w:t xml:space="preserve">No Cross-Context Leakage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ALLOWs across 700 cross-context scenarios (arms 2–8):</w:t>
      </w:r>
      <w:r>
        <w:t xml:space="preserve"> </w:t>
      </w:r>
      <w:r>
        <w:t xml:space="preserve">not a single replayed authorization was accepted</w:t>
      </w:r>
    </w:p>
    <w:p>
      <w:pPr>
        <w:numPr>
          <w:ilvl w:val="0"/>
          <w:numId w:val="1002"/>
        </w:numPr>
        <w:pStyle w:val="Compact"/>
      </w:pPr>
      <w:r>
        <w:t xml:space="preserve">The confusable arm (arm 8) is the sharpest test: every differing value was byte-different but engineered to merge under a lenient comparator; the strict guard refused all 100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ates-and-safeguards"/>
    <w:p>
      <w:pPr>
        <w:pStyle w:val="Heading2"/>
      </w:pPr>
      <w:r>
        <w:t xml:space="preserve">Gates and Safeguards</w:t>
      </w:r>
    </w:p>
    <w:bookmarkStart w:id="30" w:name="kill-gate-calibration"/>
    <w:p>
      <w:pPr>
        <w:pStyle w:val="Heading3"/>
      </w:pPr>
      <w:r>
        <w:t xml:space="preserve">Kill-Gate Calibration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</w:t>
      </w:r>
    </w:p>
    <w:p>
      <w:pPr>
        <w:numPr>
          <w:ilvl w:val="0"/>
          <w:numId w:val="1003"/>
        </w:numPr>
        <w:pStyle w:val="Compact"/>
      </w:pPr>
      <w:r>
        <w:t xml:space="preserve">88 calibration scenarios generated (mixed across all 8 arms)</w:t>
      </w:r>
    </w:p>
    <w:p>
      <w:pPr>
        <w:numPr>
          <w:ilvl w:val="0"/>
          <w:numId w:val="1003"/>
        </w:numPr>
        <w:pStyle w:val="Compact"/>
      </w:pPr>
      <w:r>
        <w:t xml:space="preserve">Context-replay effectiveness gate: all 88 scenarios verified by an independent structural oracle to genuinely encode their intended context relationship under exact equality</w:t>
      </w:r>
    </w:p>
    <w:p>
      <w:pPr>
        <w:numPr>
          <w:ilvl w:val="0"/>
          <w:numId w:val="1003"/>
        </w:numPr>
        <w:pStyle w:val="Compact"/>
      </w:pPr>
      <w:r>
        <w:t xml:space="preserve">V1–V2 concordance: 100% (88/88); V2: 12 ALLOW, 0 HOLD, 76 DENY (V1 identical)</w:t>
      </w:r>
    </w:p>
    <w:p>
      <w:pPr>
        <w:numPr>
          <w:ilvl w:val="0"/>
          <w:numId w:val="1003"/>
        </w:numPr>
        <w:pStyle w:val="Compact"/>
      </w:pPr>
      <w:r>
        <w:t xml:space="preserve">Gate threshold: ≥ 99% concordance required to proceed →</w:t>
      </w:r>
      <w:r>
        <w:t xml:space="preserve"> </w:t>
      </w:r>
      <w:r>
        <w:rPr>
          <w:bCs/>
          <w:b/>
        </w:rPr>
        <w:t xml:space="preserve">exceeded</w:t>
      </w:r>
    </w:p>
    <w:bookmarkEnd w:id="30"/>
    <w:bookmarkStart w:id="31" w:name="X9d1f9db806cb4ab7c822b114b58bdb324d5fcec"/>
    <w:p>
      <w:pPr>
        <w:pStyle w:val="Heading3"/>
      </w:pPr>
      <w:r>
        <w:t xml:space="preserve">Context-Replay Effectiveness Gate (per arm)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PASS on all 8 arms</w:t>
      </w:r>
    </w:p>
    <w:p>
      <w:pPr>
        <w:numPr>
          <w:ilvl w:val="0"/>
          <w:numId w:val="1004"/>
        </w:numPr>
        <w:pStyle w:val="Compact"/>
      </w:pPr>
      <w:r>
        <w:t xml:space="preserve">Every scenario in every arm verified by the structural oracle to genuinely encode its intended relationship (arm 1: 0 dims differ; arms 2–6: exactly one specified dim differs; arm 7: ≥ 2 dims differ; arm 8: exactly one dim differs by a confirmed confusable byte-difference that a naive normalizer would merge)</w:t>
      </w:r>
    </w:p>
    <w:p>
      <w:pPr>
        <w:numPr>
          <w:ilvl w:val="0"/>
          <w:numId w:val="1004"/>
        </w:numPr>
        <w:pStyle w:val="Compact"/>
      </w:pPr>
      <w:r>
        <w:t xml:space="preserve">Prevents ARK-455-style no-op defects where a scenario appears to encode a condition but is mathematically inert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800/800 scenarios validated</w:t>
      </w:r>
      <w:r>
        <w:t xml:space="preserve"> </w:t>
      </w:r>
      <w:r>
        <w:t xml:space="preserve">as effective before evaluation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terpretation"/>
    <w:p>
      <w:pPr>
        <w:pStyle w:val="Heading2"/>
      </w:pPr>
      <w:r>
        <w:t xml:space="preserve">Interpretation</w:t>
      </w:r>
    </w:p>
    <w:bookmarkStart w:id="33" w:name="what-this-result-means"/>
    <w:p>
      <w:pPr>
        <w:pStyle w:val="Heading3"/>
      </w:pPr>
      <w:r>
        <w:t xml:space="preserve">What This Result Means</w:t>
      </w:r>
    </w:p>
    <w:p>
      <w:pPr>
        <w:pStyle w:val="FirstParagraph"/>
      </w:pPr>
      <w:r>
        <w:t xml:space="preserve">ARK-457 demonstrates that an authorization guard can bind an authorization to its issuing context and refuse to let it transfer to any other context: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Exact context → allow.</w:t>
      </w:r>
      <w:r>
        <w:t xml:space="preserve"> </w:t>
      </w:r>
      <w:r>
        <w:t xml:space="preserve">When all five binding dimensions match, legitimate same-context execution proceeds (100% ALLOW).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Any context difference → deny.</w:t>
      </w:r>
      <w:r>
        <w:t xml:space="preserve"> </w:t>
      </w:r>
      <w:r>
        <w:t xml:space="preserve">When any binding dimension differs, the guard refuses (100% DENY), regardless of how superficially small the difference appears.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Not fooled by confusables.</w:t>
      </w:r>
      <w:r>
        <w:t xml:space="preserve"> </w:t>
      </w:r>
      <w:r>
        <w:t xml:space="preserve">Trailing spaces, case flips, zero-width characters, and homoglyphs are treated as genuine differences (100% DENY in arm 8).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Unambiguous behavior.</w:t>
      </w:r>
      <w:r>
        <w:t xml:space="preserve"> </w:t>
      </w:r>
      <w:r>
        <w:t xml:space="preserve">Dual independent implementations agree on every decision (100% concordance).</w:t>
      </w:r>
    </w:p>
    <w:p>
      <w:pPr>
        <w:pStyle w:val="BodyText"/>
      </w:pPr>
      <w:r>
        <w:t xml:space="preserve">This validates a core safety property against the confused-deputy problem:</w:t>
      </w:r>
      <w:r>
        <w:t xml:space="preserve"> </w:t>
      </w:r>
      <w:r>
        <w:rPr>
          <w:bCs/>
          <w:b/>
        </w:rPr>
        <w:t xml:space="preserve">an authorization is only valid in the exact context it was issued for.</w:t>
      </w:r>
    </w:p>
    <w:bookmarkEnd w:id="33"/>
    <w:bookmarkStart w:id="34" w:name="real-world-relevance"/>
    <w:p>
      <w:pPr>
        <w:pStyle w:val="Heading3"/>
      </w:pPr>
      <w:r>
        <w:t xml:space="preserve">Real-World Relevance</w:t>
      </w:r>
    </w:p>
    <w:p>
      <w:pPr>
        <w:pStyle w:val="FirstParagraph"/>
      </w:pPr>
      <w:r>
        <w:t xml:space="preserve">Cross-context replay underlies many high-impact incidents:</w:t>
      </w:r>
      <w:r>
        <w:t xml:space="preserve"> </w:t>
      </w:r>
      <w:r>
        <w:t xml:space="preserve">- Multi-tenant SaaS isolation breaks (authorization for tenant A accepted for tenant B)</w:t>
      </w:r>
      <w:r>
        <w:t xml:space="preserve"> </w:t>
      </w:r>
      <w:r>
        <w:t xml:space="preserve">- OAuth/token audience confusion (token for one service accepted by another)</w:t>
      </w:r>
      <w:r>
        <w:t xml:space="preserve"> </w:t>
      </w:r>
      <w:r>
        <w:t xml:space="preserve">- Session token export/replay across sessions or devices</w:t>
      </w:r>
      <w:r>
        <w:t xml:space="preserve"> </w:t>
      </w:r>
      <w:r>
        <w:t xml:space="preserve">- Staging/sandbox credentials accepted in production</w:t>
      </w:r>
      <w:r>
        <w:t xml:space="preserve"> </w:t>
      </w:r>
      <w:r>
        <w:t xml:space="preserve">- Homoglyph/whitespace tricks defeating naive identifier comparison</w:t>
      </w:r>
    </w:p>
    <w:p>
      <w:pPr>
        <w:pStyle w:val="BodyText"/>
      </w:pPr>
      <w:r>
        <w:t xml:space="preserve">ARK-457 shows that a guard using strict, non-normalizing context binding refuses every one of these replay classes.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imitations-and-scope"/>
    <w:p>
      <w:pPr>
        <w:pStyle w:val="Heading2"/>
      </w:pPr>
      <w:r>
        <w:t xml:space="preserve">Limitations and Scope</w:t>
      </w:r>
    </w:p>
    <w:p>
      <w:pPr>
        <w:pStyle w:val="FirstParagraph"/>
      </w:pPr>
      <w:r>
        <w:rPr>
          <w:bCs/>
          <w:b/>
        </w:rPr>
        <w:t xml:space="preserve">What this experiment tested:</w:t>
      </w:r>
      <w:r>
        <w:t xml:space="preserve"> </w:t>
      </w:r>
      <w:r>
        <w:t xml:space="preserve">- Whether a guard binds an authorization to its issuing context and refuses transfer to any other context</w:t>
      </w:r>
      <w:r>
        <w:t xml:space="preserve"> </w:t>
      </w:r>
      <w:r>
        <w:t xml:space="preserve">- Whether the comparison is strict enough to reject confusable near-matches</w:t>
      </w:r>
      <w:r>
        <w:t xml:space="preserve"> </w:t>
      </w:r>
      <w:r>
        <w:t xml:space="preserve">- Whether the decision procedure is clear enough for independent implementation</w:t>
      </w:r>
    </w:p>
    <w:p>
      <w:pPr>
        <w:pStyle w:val="BodyText"/>
      </w:pPr>
      <w:r>
        <w:rPr>
          <w:bCs/>
          <w:b/>
        </w:rPr>
        <w:t xml:space="preserve">What this does NOT test:</w:t>
      </w:r>
      <w:r>
        <w:t xml:space="preserve"> </w:t>
      </w:r>
      <w:r>
        <w:t xml:space="preserve">- Real token formats, JWT/PASETO audience claims, or OAuth scope semantics</w:t>
      </w:r>
      <w:r>
        <w:t xml:space="preserve"> </w:t>
      </w:r>
      <w:r>
        <w:t xml:space="preserve">- Cryptographic binding (signatures, key confirmation, DPoP) — this is logical context binding only</w:t>
      </w:r>
      <w:r>
        <w:t xml:space="preserve"> </w:t>
      </w:r>
      <w:r>
        <w:t xml:space="preserve">- Network-level replay (TLS, nonce caches) or timing/expiry (covered by ARK-442/ARK-451)</w:t>
      </w:r>
      <w:r>
        <w:t xml:space="preserve"> </w:t>
      </w:r>
      <w:r>
        <w:t xml:space="preserve">- Unicode normalization</w:t>
      </w:r>
      <w:r>
        <w:t xml:space="preserve"> </w:t>
      </w:r>
      <w:r>
        <w:rPr>
          <w:iCs/>
          <w:i/>
        </w:rPr>
        <w:t xml:space="preserve">policy</w:t>
      </w:r>
      <w:r>
        <w:t xml:space="preserve"> </w:t>
      </w:r>
      <w:r>
        <w:t xml:space="preserve">design — here strict non-normalization is the tested behavior by construction</w:t>
      </w:r>
      <w:r>
        <w:t xml:space="preserve"> </w:t>
      </w:r>
      <w:r>
        <w:t xml:space="preserve">- Performance, latency, or throughput under load</w:t>
      </w:r>
    </w:p>
    <w:p>
      <w:pPr>
        <w:pStyle w:val="BodyText"/>
      </w:pPr>
      <w:r>
        <w:rPr>
          <w:bCs/>
          <w:b/>
        </w:rPr>
        <w:t xml:space="preserve">Constraints:</w:t>
      </w:r>
      <w:r>
        <w:t xml:space="preserve"> </w:t>
      </w:r>
      <w:r>
        <w:t xml:space="preserve">This is a classical/software boundary-logic testbed validating context-binding in isolation, not the end-to-end enterprise identity stack. Findings are scoped to the tested procedure, scenario generator, and arms.</w:t>
      </w:r>
    </w:p>
    <w:p>
      <w:r>
        <w:pict>
          <v:rect style="width:0;height:1.5pt" o:hralign="center" o:hrstd="t" o:hr="t"/>
        </w:pict>
      </w:r>
    </w:p>
    <w:bookmarkEnd w:id="36"/>
    <w:bookmarkStart w:id="39" w:name="provenance-and-integrity"/>
    <w:p>
      <w:pPr>
        <w:pStyle w:val="Heading2"/>
      </w:pPr>
      <w:r>
        <w:t xml:space="preserve">Provenance and Integrity</w:t>
      </w:r>
    </w:p>
    <w:bookmarkStart w:id="37" w:name="lock-procedure"/>
    <w:p>
      <w:pPr>
        <w:pStyle w:val="Heading3"/>
      </w:pPr>
      <w:r>
        <w:t xml:space="preserve">LOCK Procedure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Preregistration, dual guards, generator, runners, MANIFEST (SHA-256 hashes) committed BEFORE execution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452f6ea</w:t>
      </w:r>
      <w:r>
        <w:t xml:space="preserve"> </w:t>
      </w:r>
      <w:r>
        <w:t xml:space="preserve">(lock timestamp 2026-07-18T00:17:33Z UTC), tagged</w:t>
      </w:r>
      <w:r>
        <w:t xml:space="preserve"> </w:t>
      </w:r>
      <w:r>
        <w:rPr>
          <w:rStyle w:val="VerbatimChar"/>
        </w:rPr>
        <w:t xml:space="preserve">ark-457-v1.0-lock</w:t>
      </w:r>
    </w:p>
    <w:p>
      <w:pPr>
        <w:numPr>
          <w:ilvl w:val="0"/>
          <w:numId w:val="1005"/>
        </w:numPr>
        <w:pStyle w:val="Compact"/>
      </w:pPr>
      <w:r>
        <w:t xml:space="preserve">No scenario was generated or evaluated until after the LOCK commit</w:t>
      </w:r>
    </w:p>
    <w:p>
      <w:pPr>
        <w:numPr>
          <w:ilvl w:val="0"/>
          <w:numId w:val="1005"/>
        </w:numPr>
        <w:pStyle w:val="Compact"/>
      </w:pPr>
      <w:r>
        <w:t xml:space="preserve">Results recorded AFTER execution complete</w:t>
      </w:r>
    </w:p>
    <w:bookmarkEnd w:id="37"/>
    <w:bookmarkStart w:id="38" w:name="manifest-sha-256-hashes-locked-files"/>
    <w:p>
      <w:pPr>
        <w:pStyle w:val="Heading3"/>
      </w:pPr>
      <w:r>
        <w:t xml:space="preserve">MANIFEST SHA-256 Hashes (locked files)</w:t>
      </w:r>
    </w:p>
    <w:p>
      <w:pPr>
        <w:pStyle w:val="SourceCode"/>
      </w:pPr>
      <w:r>
        <w:rPr>
          <w:rStyle w:val="VerbatimChar"/>
        </w:rPr>
        <w:t xml:space="preserve">PREREGISTRATION.md:                          9348475503b2d7b4b8d9e43140a936abecf7db96a9f59353ab013ced021cd88d</w:t>
      </w:r>
      <w:r>
        <w:br/>
      </w:r>
      <w:r>
        <w:rPr>
          <w:rStyle w:val="VerbatimChar"/>
        </w:rPr>
        <w:t xml:space="preserve">schemas/context_replay_scenario_schema.json: 6312a66df6ef5422ff19d7380aab001bb76251b4dee986b3a84a2b44fe007e41</w:t>
      </w:r>
      <w:r>
        <w:br/>
      </w:r>
      <w:r>
        <w:rPr>
          <w:rStyle w:val="VerbatimChar"/>
        </w:rPr>
        <w:t xml:space="preserve">verifiers/v1_guard.js:                       e2195a0cd76a9cd9a5b0e1ebe939aa68491752b0938db4d96b1678a2c5a75982</w:t>
      </w:r>
      <w:r>
        <w:br/>
      </w:r>
      <w:r>
        <w:rPr>
          <w:rStyle w:val="VerbatimChar"/>
        </w:rPr>
        <w:t xml:space="preserve">verifiers/v2_guard.py:                       3620e43258450d8dbb571acec3c5b2a8a14ced85bf2b5e335aacfdf51fde1058</w:t>
      </w:r>
      <w:r>
        <w:br/>
      </w:r>
      <w:r>
        <w:rPr>
          <w:rStyle w:val="VerbatimChar"/>
        </w:rPr>
        <w:t xml:space="preserve">generator/scenario_generator.py:             1f24a47eed82bfb8ff43a0bf0e12930dc243e5ffc37e09da8f1db97e4947dbed</w:t>
      </w:r>
      <w:r>
        <w:br/>
      </w:r>
      <w:r>
        <w:rPr>
          <w:rStyle w:val="VerbatimChar"/>
        </w:rPr>
        <w:t xml:space="preserve">run_killgate.py:                             f685f60ed57b737cbabcafa6c4bc2d542e58bf2fd18760523462d9ae5c9e9c03</w:t>
      </w:r>
      <w:r>
        <w:br/>
      </w:r>
      <w:r>
        <w:rPr>
          <w:rStyle w:val="VerbatimChar"/>
        </w:rPr>
        <w:t xml:space="preserve">run_arms.py:                                 66de18cfd8b518ae073dbed247ec1d19044d86be0e4acd925c4f5d5b7d532d58</w:t>
      </w:r>
    </w:p>
    <w:p>
      <w:pPr>
        <w:pStyle w:val="FirstParagraph"/>
      </w:pPr>
      <w:r>
        <w:rPr>
          <w:bCs/>
          <w:b/>
        </w:rPr>
        <w:t xml:space="preserve">Commits are not cryptographically signed.</w:t>
      </w:r>
      <w:r>
        <w:t xml:space="preserve"> </w:t>
      </w:r>
      <w:r>
        <w:t xml:space="preserve">Provenance = commit history + MANIFEST SHA-256 hashes. This is an experimental testbed, not a production security claim.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ARK-457 answers the question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an authorization be replayed across contexts?</w:t>
      </w:r>
      <w:r>
        <w:rPr>
          <w:bCs/>
          <w:b/>
        </w:rPr>
        <w:t xml:space="preserve">”</w:t>
      </w:r>
      <w:r>
        <w:t xml:space="preserve"> </w:t>
      </w:r>
      <w:r>
        <w:t xml:space="preserve">with a clear</w:t>
      </w:r>
      <w:r>
        <w:t xml:space="preserve"> </w:t>
      </w:r>
      <w:r>
        <w:rPr>
          <w:bCs/>
          <w:b/>
        </w:rPr>
        <w:t xml:space="preserve">NO</w:t>
      </w:r>
      <w:r>
        <w:t xml:space="preserve">:</w:t>
      </w:r>
      <w:r>
        <w:t xml:space="preserve"> </w:t>
      </w:r>
      <w:r>
        <w:t xml:space="preserve">- Exact context match → ALLOW (100%)</w:t>
      </w:r>
      <w:r>
        <w:t xml:space="preserve"> </w:t>
      </w:r>
      <w:r>
        <w:t xml:space="preserve">- Any cross-context difference, including confusable near-matches → DENY (100%)</w:t>
      </w:r>
      <w:r>
        <w:t xml:space="preserve"> </w:t>
      </w:r>
      <w:r>
        <w:t xml:space="preserve">- Zero cross-context leakage</w:t>
      </w:r>
      <w:r>
        <w:t xml:space="preserve"> </w:t>
      </w:r>
      <w:r>
        <w:t xml:space="preserve">- Dual independent implementations agree (100%, 800/800)</w:t>
      </w:r>
    </w:p>
    <w:p>
      <w:pPr>
        <w:pStyle w:val="BodyText"/>
      </w:pPr>
      <w:r>
        <w:t xml:space="preserve">The context-binding principle is validated:</w:t>
      </w:r>
      <w:r>
        <w:t xml:space="preserve"> </w:t>
      </w:r>
      <w:r>
        <w:rPr>
          <w:bCs/>
          <w:b/>
        </w:rPr>
        <w:t xml:space="preserve">an authorization is only valid in the exact context it was issued for.</w:t>
      </w:r>
    </w:p>
    <w:p>
      <w:pPr>
        <w:pStyle w:val="BodyText"/>
      </w:pPr>
      <w:r>
        <w:rPr>
          <w:bCs/>
          <w:b/>
        </w:rPr>
        <w:t xml:space="preserve">Verdict stands as executed: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Investigator:</w:t>
      </w:r>
      <w:r>
        <w:t xml:space="preserve"> </w:t>
      </w:r>
      <w:r>
        <w:t xml:space="preserve">Derek Hone, Remnant Fieldworks Inc.</w:t>
      </w:r>
      <w:r>
        <w:br/>
      </w:r>
      <w:r>
        <w:rPr>
          <w:bCs/>
          <w:b/>
        </w:rPr>
        <w:t xml:space="preserve">Executor:</w:t>
      </w:r>
      <w:r>
        <w:t xml:space="preserve"> </w:t>
      </w:r>
      <w:r>
        <w:t xml:space="preserve">Abacus.AI autonomous agent (supervised)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ExecutionProof™ authorization-boundary corpus</w:t>
      </w:r>
      <w:r>
        <w:br/>
      </w:r>
      <w:r>
        <w:rPr>
          <w:bCs/>
          <w:b/>
        </w:rPr>
        <w:t xml:space="preserve">Trademarks:</w:t>
      </w:r>
      <w:r>
        <w:t xml:space="preserve"> </w:t>
      </w:r>
      <w:r>
        <w:t xml:space="preserve">ExecutionProof™, ProofRecord™, VaultProof™, Verification Before Execution™, Proof Before Power™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If it cannot be verified, it cannot execute.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2026-07-18T00:21:16Z</dcterms:created>
  <dcterms:modified xsi:type="dcterms:W3CDTF">2026-07-18T00:21:16Z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