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005c6718393bfeebf71f0e4371aa49b5e99d22"/>
    <w:p>
      <w:pPr>
        <w:pStyle w:val="Heading1"/>
      </w:pPr>
      <w:r>
        <w:t xml:space="preserve">ARK-447 Results — Noise-Suppression Comparison: Pauli Twirling vs. Baseline</w:t>
      </w:r>
    </w:p>
    <w:p>
      <w:pPr>
        <w:pStyle w:val="FirstParagraph"/>
      </w:pPr>
      <w:r>
        <w:rPr>
          <w:bCs/>
          <w:b/>
        </w:rPr>
        <w:t xml:space="preserve">Experiment:</w:t>
      </w:r>
      <w:r>
        <w:t xml:space="preserve"> </w:t>
      </w:r>
      <w:r>
        <w:t xml:space="preserve">ARK-447</w:t>
      </w:r>
      <w:r>
        <w:br/>
      </w:r>
      <w:r>
        <w:rPr>
          <w:bCs/>
          <w:b/>
        </w:rPr>
        <w:t xml:space="preserve">Track:</w:t>
      </w:r>
      <w:r>
        <w:t xml:space="preserve"> </w:t>
      </w:r>
      <w:r>
        <w:t xml:space="preserve">ExecutionProof authorization-boundary characterization</w:t>
      </w:r>
      <w:r>
        <w:br/>
      </w:r>
      <w:r>
        <w:rPr>
          <w:bCs/>
          <w:b/>
        </w:rPr>
        <w:t xml:space="preserve">Protocol:</w:t>
      </w:r>
      <w:r>
        <w:t xml:space="preserve"> </w:t>
      </w:r>
      <w:r>
        <w:t xml:space="preserve">Field 27 (LOCK → SPAM gate → principal job → analyze → verdict)</w:t>
      </w:r>
      <w:r>
        <w:br/>
      </w:r>
      <w:r>
        <w:rPr>
          <w:bCs/>
          <w:b/>
        </w:rPr>
        <w:t xml:space="preserve">Date:</w:t>
      </w:r>
      <w:r>
        <w:t xml:space="preserve"> </w:t>
      </w:r>
      <w:r>
        <w:t xml:space="preserve">2026-07-17</w:t>
      </w:r>
      <w:r>
        <w:br/>
      </w:r>
      <w:r>
        <w:rPr>
          <w:bCs/>
          <w:b/>
        </w:rPr>
        <w:t xml:space="preserve">Backend:</w:t>
      </w:r>
      <w:r>
        <w:t xml:space="preserve"> </w:t>
      </w:r>
      <w:r>
        <w:rPr>
          <w:rStyle w:val="VerbatimChar"/>
        </w:rPr>
        <w:t xml:space="preserve">ibm_marrakesh</w:t>
      </w:r>
      <w:r>
        <w:t xml:space="preserve"> </w:t>
      </w:r>
      <w:r>
        <w:t xml:space="preserve">(IBM Quantum Heron r2, 156 qubits)</w:t>
      </w:r>
    </w:p>
    <w:p>
      <w:r>
        <w:pict>
          <v:rect style="width:0;height:1.5pt" o:hralign="center" o:hrstd="t" o:hr="t"/>
        </w:pict>
      </w:r>
    </w:p>
    <w:bookmarkStart w:id="20" w:name="overall-verdict"/>
    <w:p>
      <w:pPr>
        <w:pStyle w:val="Heading2"/>
      </w:pPr>
      <w:r>
        <w:t xml:space="preserve">Overall Verdict</w:t>
      </w:r>
    </w:p>
    <w:p>
      <w:pPr>
        <w:pStyle w:val="FirstParagraph"/>
      </w:pPr>
      <w:r>
        <w:t xml:space="preserve">✅</w:t>
      </w:r>
      <w:r>
        <w:t xml:space="preserve"> </w:t>
      </w:r>
      <w:r>
        <w:rPr>
          <w:bCs/>
          <w:b/>
        </w:rPr>
        <w:t xml:space="preserve">PASS (strong)</w:t>
      </w:r>
    </w:p>
    <w:p>
      <w:pPr>
        <w:pStyle w:val="BodyText"/>
      </w:pPr>
      <w:r>
        <w:rPr>
          <w:bCs/>
          <w:b/>
        </w:rPr>
        <w:t xml:space="preserve">Reason:</w:t>
      </w:r>
      <w:r>
        <w:t xml:space="preserve"> </w:t>
      </w:r>
      <w:r>
        <w:t xml:space="preserve">Both configurations (baseline and Pauli twirling) pass all quantitative criteria. Pauli twirling shows marginal improvement over the unprotected baseline.</w:t>
      </w:r>
    </w:p>
    <w:p>
      <w:r>
        <w:pict>
          <v:rect style="width:0;height:1.5pt" o:hralign="center" o:hrstd="t" o:hr="t"/>
        </w:pict>
      </w:r>
    </w:p>
    <w:bookmarkEnd w:id="20"/>
    <w:bookmarkStart w:id="21" w:name="central-question"/>
    <w:p>
      <w:pPr>
        <w:pStyle w:val="Heading2"/>
      </w:pPr>
      <w:r>
        <w:t xml:space="preserve">Central Question</w:t>
      </w:r>
    </w:p>
    <w:p>
      <w:pPr>
        <w:pStyle w:val="FirstParagraph"/>
      </w:pPr>
      <w:r>
        <w:t xml:space="preserve">Do noise-mitigation strategies improve authorization boundary fidelity on current NISQ hardware?</w:t>
      </w:r>
    </w:p>
    <w:p>
      <w:pPr>
        <w:pStyle w:val="BodyText"/>
      </w:pPr>
      <w:r>
        <w:rPr>
          <w:bCs/>
          <w:b/>
        </w:rPr>
        <w:t xml:space="preserve">Tested:</w:t>
      </w:r>
      <w:r>
        <w:t xml:space="preserve"> </w:t>
      </w:r>
      <w:r>
        <w:t xml:space="preserve">Pauli twirling (Y gates before/after CNOT to convert coherent errors into stochastic noise) vs. unprotected baseline.</w:t>
      </w:r>
    </w:p>
    <w:p>
      <w:pPr>
        <w:pStyle w:val="BodyText"/>
      </w:pPr>
      <w:r>
        <w:rPr>
          <w:bCs/>
          <w:b/>
        </w:rPr>
        <w:t xml:space="preserve">Note:</w:t>
      </w:r>
      <w:r>
        <w:t xml:space="preserve"> </w:t>
      </w:r>
      <w:r>
        <w:t xml:space="preserve">Dynamical Decoupling (DD) circuits were omitted due to implementation complexity (scheduling requirements).</w:t>
      </w:r>
    </w:p>
    <w:p>
      <w:r>
        <w:pict>
          <v:rect style="width:0;height:1.5pt" o:hralign="center" o:hrstd="t" o:hr="t"/>
        </w:pict>
      </w:r>
    </w:p>
    <w:bookmarkEnd w:id="21"/>
    <w:bookmarkStart w:id="25" w:name="execution-summary"/>
    <w:p>
      <w:pPr>
        <w:pStyle w:val="Heading2"/>
      </w:pPr>
      <w:r>
        <w:t xml:space="preserve">Execution Summary</w:t>
      </w:r>
    </w:p>
    <w:bookmarkStart w:id="22" w:name="qubits"/>
    <w:p>
      <w:pPr>
        <w:pStyle w:val="Heading3"/>
      </w:pPr>
      <w:r>
        <w:t xml:space="preserve">Qubits</w:t>
      </w:r>
    </w:p>
    <w:p>
      <w:pPr>
        <w:numPr>
          <w:ilvl w:val="0"/>
          <w:numId w:val="1001"/>
        </w:numPr>
        <w:pStyle w:val="Compact"/>
      </w:pPr>
      <w:r>
        <w:rPr>
          <w:bCs/>
          <w:b/>
        </w:rPr>
        <w:t xml:space="preserve">Q_A (authorizer):</w:t>
      </w:r>
      <w:r>
        <w:t xml:space="preserve"> </w:t>
      </w:r>
      <w:r>
        <w:t xml:space="preserve">Qubit 1 (RE = 0.0022)</w:t>
      </w:r>
    </w:p>
    <w:p>
      <w:pPr>
        <w:numPr>
          <w:ilvl w:val="0"/>
          <w:numId w:val="1001"/>
        </w:numPr>
        <w:pStyle w:val="Compact"/>
      </w:pPr>
      <w:r>
        <w:rPr>
          <w:bCs/>
          <w:b/>
        </w:rPr>
        <w:t xml:space="preserve">Q_P (payload):</w:t>
      </w:r>
      <w:r>
        <w:t xml:space="preserve"> </w:t>
      </w:r>
      <w:r>
        <w:t xml:space="preserve">Qubit 2 (RE = 0.0032)</w:t>
      </w:r>
    </w:p>
    <w:p>
      <w:pPr>
        <w:numPr>
          <w:ilvl w:val="0"/>
          <w:numId w:val="1001"/>
        </w:numPr>
        <w:pStyle w:val="Compact"/>
      </w:pPr>
      <w:r>
        <w:rPr>
          <w:bCs/>
          <w:b/>
        </w:rPr>
        <w:t xml:space="preserve">Sum RE:</w:t>
      </w:r>
      <w:r>
        <w:t xml:space="preserve"> </w:t>
      </w:r>
      <w:r>
        <w:t xml:space="preserve">0.0054 (connected pair on</w:t>
      </w:r>
      <w:r>
        <w:t xml:space="preserve"> </w:t>
      </w:r>
      <w:r>
        <w:rPr>
          <w:rStyle w:val="VerbatimChar"/>
        </w:rPr>
        <w:t xml:space="preserve">ibm_marrakesh</w:t>
      </w:r>
      <w:r>
        <w:t xml:space="preserve">)</w:t>
      </w:r>
    </w:p>
    <w:bookmarkEnd w:id="22"/>
    <w:bookmarkStart w:id="23" w:name="spam-baseline-gating-condition"/>
    <w:p>
      <w:pPr>
        <w:pStyle w:val="Heading3"/>
      </w:pPr>
      <w:r>
        <w:t xml:space="preserve">SPAM Baseline (Gating Condition)</w:t>
      </w:r>
    </w:p>
    <w:p>
      <w:pPr>
        <w:pStyle w:val="FirstParagraph"/>
      </w:pPr>
      <w:r>
        <w:rPr>
          <w:bCs/>
          <w:b/>
        </w:rPr>
        <w:t xml:space="preserve">Job:</w:t>
      </w:r>
      <w:r>
        <w:t xml:space="preserve"> </w:t>
      </w:r>
      <w:r>
        <w:rPr>
          <w:rStyle w:val="VerbatimChar"/>
        </w:rPr>
        <w:t xml:space="preserve">d9cpfoineu4c739m9ek0</w:t>
      </w:r>
    </w:p>
    <w:p>
      <w:pPr>
        <w:numPr>
          <w:ilvl w:val="0"/>
          <w:numId w:val="1002"/>
        </w:numPr>
        <w:pStyle w:val="Compact"/>
      </w:pPr>
      <w:r>
        <w:rPr>
          <w:bCs/>
          <w:b/>
        </w:rPr>
        <w:t xml:space="preserve">SPAM_A:</w:t>
      </w:r>
      <w:r>
        <w:t xml:space="preserve"> </w:t>
      </w:r>
      <w:r>
        <w:t xml:space="preserve">Error = 0.0133 (≤0.02 ✓)</w:t>
      </w:r>
    </w:p>
    <w:p>
      <w:pPr>
        <w:numPr>
          <w:ilvl w:val="0"/>
          <w:numId w:val="1002"/>
        </w:numPr>
        <w:pStyle w:val="Compact"/>
      </w:pPr>
      <w:r>
        <w:rPr>
          <w:bCs/>
          <w:b/>
        </w:rPr>
        <w:t xml:space="preserve">SPAM_P:</w:t>
      </w:r>
      <w:r>
        <w:t xml:space="preserve"> </w:t>
      </w:r>
      <w:r>
        <w:t xml:space="preserve">Prob(</w:t>
      </w:r>
      <w:r>
        <w:t xml:space="preserve">‘</w:t>
      </w:r>
      <w:r>
        <w:t xml:space="preserve">1</w:t>
      </w:r>
      <w:r>
        <w:t xml:space="preserve">’</w:t>
      </w:r>
      <w:r>
        <w:t xml:space="preserve"> </w:t>
      </w:r>
      <w:r>
        <w:t xml:space="preserve">| |+⟩) = 0.4944; deviation from 0.5 = 0.0056 (≤0.02 ✓)</w:t>
      </w:r>
    </w:p>
    <w:p>
      <w:pPr>
        <w:numPr>
          <w:ilvl w:val="0"/>
          <w:numId w:val="1002"/>
        </w:numPr>
        <w:pStyle w:val="Compact"/>
      </w:pPr>
      <w:r>
        <w:rPr>
          <w:bCs/>
          <w:b/>
        </w:rPr>
        <w:t xml:space="preserve">Gate:</w:t>
      </w:r>
      <w:r>
        <w:t xml:space="preserve"> </w:t>
      </w:r>
      <w:r>
        <w:t xml:space="preserve">PASSED ✅</w:t>
      </w:r>
    </w:p>
    <w:bookmarkEnd w:id="23"/>
    <w:bookmarkStart w:id="24" w:name="principal-job"/>
    <w:p>
      <w:pPr>
        <w:pStyle w:val="Heading3"/>
      </w:pPr>
      <w:r>
        <w:t xml:space="preserve">Principal Job</w:t>
      </w:r>
    </w:p>
    <w:p>
      <w:pPr>
        <w:pStyle w:val="FirstParagraph"/>
      </w:pPr>
      <w:r>
        <w:rPr>
          <w:bCs/>
          <w:b/>
        </w:rPr>
        <w:t xml:space="preserve">Job:</w:t>
      </w:r>
      <w:r>
        <w:t xml:space="preserve"> </w:t>
      </w:r>
      <w:r>
        <w:rPr>
          <w:rStyle w:val="VerbatimChar"/>
        </w:rPr>
        <w:t xml:space="preserve">d9cphfsinv1c73ao3ms0</w:t>
      </w:r>
    </w:p>
    <w:p>
      <w:pPr>
        <w:numPr>
          <w:ilvl w:val="0"/>
          <w:numId w:val="1003"/>
        </w:numPr>
        <w:pStyle w:val="Compact"/>
      </w:pPr>
      <w:r>
        <w:rPr>
          <w:bCs/>
          <w:b/>
        </w:rPr>
        <w:t xml:space="preserve">Circuits:</w:t>
      </w:r>
      <w:r>
        <w:t xml:space="preserve"> </w:t>
      </w:r>
      <w:r>
        <w:t xml:space="preserve">4 (baseline ALLOW/DENY + Pauli twirling ALLOW/DENY)</w:t>
      </w:r>
    </w:p>
    <w:p>
      <w:pPr>
        <w:numPr>
          <w:ilvl w:val="0"/>
          <w:numId w:val="1003"/>
        </w:numPr>
        <w:pStyle w:val="Compact"/>
      </w:pPr>
      <w:r>
        <w:rPr>
          <w:bCs/>
          <w:b/>
        </w:rPr>
        <w:t xml:space="preserve">Shots:</w:t>
      </w:r>
      <w:r>
        <w:t xml:space="preserve"> </w:t>
      </w:r>
      <w:r>
        <w:t xml:space="preserve">8192 per circuit</w:t>
      </w:r>
    </w:p>
    <w:p>
      <w:pPr>
        <w:numPr>
          <w:ilvl w:val="0"/>
          <w:numId w:val="1003"/>
        </w:numPr>
        <w:pStyle w:val="Compact"/>
      </w:pPr>
      <w:r>
        <w:rPr>
          <w:bCs/>
          <w:b/>
        </w:rPr>
        <w:t xml:space="preserve">Status:</w:t>
      </w:r>
      <w:r>
        <w:t xml:space="preserve"> </w:t>
      </w:r>
      <w:r>
        <w:t xml:space="preserve">DONE</w:t>
      </w:r>
    </w:p>
    <w:p>
      <w:r>
        <w:pict>
          <v:rect style="width:0;height:1.5pt" o:hralign="center" o:hrstd="t" o:hr="t"/>
        </w:pict>
      </w:r>
    </w:p>
    <w:bookmarkEnd w:id="24"/>
    <w:bookmarkEnd w:id="25"/>
    <w:bookmarkStart w:id="27" w:name="quantitative-results"/>
    <w:p>
      <w:pPr>
        <w:pStyle w:val="Heading2"/>
      </w:pPr>
      <w:r>
        <w:t xml:space="preserve">Quantitative Results</w:t>
      </w:r>
    </w:p>
    <w:tbl>
      <w:tblPr>
        <w:tblStyle w:val="Table"/>
        <w:tblW w:type="pct" w:w="5000"/>
        <w:tblLook w:firstRow="1" w:lastRow="0" w:firstColumn="0" w:lastColumn="0" w:noHBand="0" w:noVBand="0" w:val="0020"/>
      </w:tblPr>
      <w:tblGrid>
        <w:gridCol w:w="1414"/>
        <w:gridCol w:w="1225"/>
        <w:gridCol w:w="1508"/>
        <w:gridCol w:w="1414"/>
        <w:gridCol w:w="1320"/>
        <w:gridCol w:w="1037"/>
      </w:tblGrid>
      <w:tr>
        <w:trPr>
          <w:tblHeader w:val="true"/>
        </w:trPr>
        <w:tc>
          <w:tcPr/>
          <w:p>
            <w:pPr>
              <w:pStyle w:val="Compact"/>
              <w:jc w:val="left"/>
            </w:pPr>
            <w:r>
              <w:t xml:space="preserve">Configuration</w:t>
            </w:r>
          </w:p>
        </w:tc>
        <w:tc>
          <w:tcPr/>
          <w:p>
            <w:pPr>
              <w:pStyle w:val="Compact"/>
              <w:jc w:val="left"/>
            </w:pPr>
            <w:r>
              <w:t xml:space="preserve">S_A (ALLOW)</w:t>
            </w:r>
          </w:p>
        </w:tc>
        <w:tc>
          <w:tcPr/>
          <w:p>
            <w:pPr>
              <w:pStyle w:val="Compact"/>
              <w:jc w:val="left"/>
            </w:pPr>
            <w:r>
              <w:t xml:space="preserve">L_D_raw (DENY)</w:t>
            </w:r>
          </w:p>
        </w:tc>
        <w:tc>
          <w:tcPr/>
          <w:p>
            <w:pPr>
              <w:pStyle w:val="Compact"/>
              <w:jc w:val="left"/>
            </w:pPr>
            <w:r>
              <w:t xml:space="preserve">L_D_corrected</w:t>
            </w:r>
          </w:p>
        </w:tc>
        <w:tc>
          <w:tcPr/>
          <w:p>
            <w:pPr>
              <w:pStyle w:val="Compact"/>
              <w:jc w:val="left"/>
            </w:pPr>
            <w:r>
              <w:t xml:space="preserve">Δ_B (margin)</w:t>
            </w:r>
          </w:p>
        </w:tc>
        <w:tc>
          <w:tcPr/>
          <w:p>
            <w:pPr>
              <w:pStyle w:val="Compact"/>
              <w:jc w:val="left"/>
            </w:pPr>
            <w:r>
              <w:t xml:space="preserve">PASS/FAIL</w:t>
            </w:r>
          </w:p>
        </w:tc>
      </w:tr>
      <w:tr>
        <w:tc>
          <w:tcPr/>
          <w:p>
            <w:pPr>
              <w:pStyle w:val="Compact"/>
              <w:jc w:val="left"/>
            </w:pPr>
            <w:r>
              <w:rPr>
                <w:bCs/>
                <w:b/>
              </w:rPr>
              <w:t xml:space="preserve">Baseline</w:t>
            </w:r>
          </w:p>
        </w:tc>
        <w:tc>
          <w:tcPr/>
          <w:p>
            <w:pPr>
              <w:pStyle w:val="Compact"/>
              <w:jc w:val="left"/>
            </w:pPr>
            <w:r>
              <w:t xml:space="preserve">0.9824</w:t>
            </w:r>
          </w:p>
        </w:tc>
        <w:tc>
          <w:tcPr/>
          <w:p>
            <w:pPr>
              <w:pStyle w:val="Compact"/>
              <w:jc w:val="left"/>
            </w:pPr>
            <w:r>
              <w:t xml:space="preserve">0.0013</w:t>
            </w:r>
          </w:p>
        </w:tc>
        <w:tc>
          <w:tcPr/>
          <w:p>
            <w:pPr>
              <w:pStyle w:val="Compact"/>
              <w:jc w:val="left"/>
            </w:pPr>
            <w:r>
              <w:t xml:space="preserve">0.0000</w:t>
            </w:r>
          </w:p>
        </w:tc>
        <w:tc>
          <w:tcPr/>
          <w:p>
            <w:pPr>
              <w:pStyle w:val="Compact"/>
              <w:jc w:val="left"/>
            </w:pPr>
            <w:r>
              <w:t xml:space="preserve">0.7824</w:t>
            </w:r>
          </w:p>
        </w:tc>
        <w:tc>
          <w:tcPr/>
          <w:p>
            <w:pPr>
              <w:pStyle w:val="Compact"/>
              <w:jc w:val="left"/>
            </w:pPr>
            <w:r>
              <w:t xml:space="preserve">✅ PASS</w:t>
            </w:r>
          </w:p>
        </w:tc>
      </w:tr>
      <w:tr>
        <w:tc>
          <w:tcPr/>
          <w:p>
            <w:pPr>
              <w:pStyle w:val="Compact"/>
              <w:jc w:val="left"/>
            </w:pPr>
            <w:r>
              <w:rPr>
                <w:bCs/>
                <w:b/>
              </w:rPr>
              <w:t xml:space="preserve">Pauli Twirling</w:t>
            </w:r>
          </w:p>
        </w:tc>
        <w:tc>
          <w:tcPr/>
          <w:p>
            <w:pPr>
              <w:pStyle w:val="Compact"/>
              <w:jc w:val="left"/>
            </w:pPr>
            <w:r>
              <w:t xml:space="preserve">0.9875</w:t>
            </w:r>
          </w:p>
        </w:tc>
        <w:tc>
          <w:tcPr/>
          <w:p>
            <w:pPr>
              <w:pStyle w:val="Compact"/>
              <w:jc w:val="left"/>
            </w:pPr>
            <w:r>
              <w:t xml:space="preserve">0.0012</w:t>
            </w:r>
          </w:p>
        </w:tc>
        <w:tc>
          <w:tcPr/>
          <w:p>
            <w:pPr>
              <w:pStyle w:val="Compact"/>
              <w:jc w:val="left"/>
            </w:pPr>
            <w:r>
              <w:t xml:space="preserve">0.0000</w:t>
            </w:r>
          </w:p>
        </w:tc>
        <w:tc>
          <w:tcPr/>
          <w:p>
            <w:pPr>
              <w:pStyle w:val="Compact"/>
              <w:jc w:val="left"/>
            </w:pPr>
            <w:r>
              <w:t xml:space="preserve">0.7875</w:t>
            </w:r>
          </w:p>
        </w:tc>
        <w:tc>
          <w:tcPr/>
          <w:p>
            <w:pPr>
              <w:pStyle w:val="Compact"/>
              <w:jc w:val="left"/>
            </w:pPr>
            <w:r>
              <w:t xml:space="preserve">✅ PASS</w:t>
            </w:r>
          </w:p>
        </w:tc>
      </w:tr>
    </w:tbl>
    <w:bookmarkStart w:id="26" w:name="success-criteria-per-configuration"/>
    <w:p>
      <w:pPr>
        <w:pStyle w:val="Heading3"/>
      </w:pPr>
      <w:r>
        <w:t xml:space="preserve">Success Criteria (Per Configuration)</w:t>
      </w:r>
    </w:p>
    <w:p>
      <w:pPr>
        <w:numPr>
          <w:ilvl w:val="0"/>
          <w:numId w:val="1004"/>
        </w:numPr>
        <w:pStyle w:val="Compact"/>
      </w:pPr>
      <w:r>
        <w:rPr>
          <w:bCs/>
          <w:b/>
        </w:rPr>
        <w:t xml:space="preserve">S_A ≥ 0.90</w:t>
      </w:r>
      <w:r>
        <w:t xml:space="preserve"> </w:t>
      </w:r>
      <w:r>
        <w:t xml:space="preserve">(ALLOW discrimination) ✅</w:t>
      </w:r>
    </w:p>
    <w:p>
      <w:pPr>
        <w:numPr>
          <w:ilvl w:val="0"/>
          <w:numId w:val="1004"/>
        </w:numPr>
        <w:pStyle w:val="Compact"/>
      </w:pPr>
      <w:r>
        <w:rPr>
          <w:bCs/>
          <w:b/>
        </w:rPr>
        <w:t xml:space="preserve">L_D_corrected ≤ 0.02</w:t>
      </w:r>
      <w:r>
        <w:t xml:space="preserve"> </w:t>
      </w:r>
      <w:r>
        <w:t xml:space="preserve">(DENY leakage, SPAM-corrected) ✅</w:t>
      </w:r>
    </w:p>
    <w:p>
      <w:pPr>
        <w:numPr>
          <w:ilvl w:val="0"/>
          <w:numId w:val="1004"/>
        </w:numPr>
        <w:pStyle w:val="Compact"/>
      </w:pPr>
      <w:r>
        <w:rPr>
          <w:bCs/>
          <w:b/>
        </w:rPr>
        <w:t xml:space="preserve">Δ_B ≥ 0.00</w:t>
      </w:r>
      <w:r>
        <w:t xml:space="preserve"> </w:t>
      </w:r>
      <w:r>
        <w:t xml:space="preserve">(boundary margin: S_A − L_D − 0.20) ✅</w:t>
      </w:r>
    </w:p>
    <w:p>
      <w:pPr>
        <w:pStyle w:val="FirstParagraph"/>
      </w:pPr>
      <w:r>
        <w:rPr>
          <w:bCs/>
          <w:b/>
        </w:rPr>
        <w:t xml:space="preserve">Both configurations meet all three criteria.</w:t>
      </w:r>
    </w:p>
    <w:p>
      <w:r>
        <w:pict>
          <v:rect style="width:0;height:1.5pt" o:hralign="center" o:hrstd="t" o:hr="t"/>
        </w:pict>
      </w:r>
    </w:p>
    <w:bookmarkEnd w:id="26"/>
    <w:bookmarkEnd w:id="27"/>
    <w:bookmarkStart w:id="30" w:name="detailed-scorecard"/>
    <w:p>
      <w:pPr>
        <w:pStyle w:val="Heading2"/>
      </w:pPr>
      <w:r>
        <w:t xml:space="preserve">Detailed Scorecard</w:t>
      </w:r>
    </w:p>
    <w:bookmarkStart w:id="28" w:name="baseline-configuration"/>
    <w:p>
      <w:pPr>
        <w:pStyle w:val="Heading3"/>
      </w:pPr>
      <w:r>
        <w:t xml:space="preserve">Baseline Configuration</w:t>
      </w:r>
    </w:p>
    <w:p>
      <w:pPr>
        <w:pStyle w:val="FirstParagraph"/>
      </w:pPr>
      <w:r>
        <w:rPr>
          <w:bCs/>
          <w:b/>
        </w:rPr>
        <w:t xml:space="preserve">ALLOW path (arm1):</w:t>
      </w:r>
      <w:r>
        <w:t xml:space="preserve"> </w:t>
      </w:r>
      <w:r>
        <w:t xml:space="preserve">- Counts:</w:t>
      </w:r>
      <w:r>
        <w:t xml:space="preserve"> </w:t>
      </w:r>
      <w:r>
        <w:rPr>
          <w:rStyle w:val="VerbatimChar"/>
        </w:rPr>
        <w:t xml:space="preserve">{'11': 4083, '01': 3965, '10': 78, '00': 66}</w:t>
      </w:r>
      <w:r>
        <w:t xml:space="preserve"> </w:t>
      </w:r>
      <w:r>
        <w:t xml:space="preserve">- Payload outcome</w:t>
      </w:r>
      <w:r>
        <w:t xml:space="preserve"> </w:t>
      </w:r>
      <w:r>
        <w:t xml:space="preserve">‘</w:t>
      </w:r>
      <w:r>
        <w:t xml:space="preserve">1</w:t>
      </w:r>
      <w:r>
        <w:t xml:space="preserve">’</w:t>
      </w:r>
      <w:r>
        <w:t xml:space="preserve">: 4083 + 3965 = 8048</w:t>
      </w:r>
      <w:r>
        <w:t xml:space="preserve"> </w:t>
      </w:r>
      <w:r>
        <w:t xml:space="preserve">-</w:t>
      </w:r>
      <w:r>
        <w:t xml:space="preserve"> </w:t>
      </w:r>
      <w:r>
        <w:rPr>
          <w:bCs/>
          <w:b/>
        </w:rPr>
        <w:t xml:space="preserve">S_A = 8048 / 8192 = 0.9824</w:t>
      </w:r>
      <w:r>
        <w:t xml:space="preserve"> </w:t>
      </w:r>
      <w:r>
        <w:t xml:space="preserve">(≥0.90 ✓)</w:t>
      </w:r>
    </w:p>
    <w:p>
      <w:pPr>
        <w:pStyle w:val="BodyText"/>
      </w:pPr>
      <w:r>
        <w:rPr>
          <w:bCs/>
          <w:b/>
        </w:rPr>
        <w:t xml:space="preserve">DENY path (arm2):</w:t>
      </w:r>
      <w:r>
        <w:t xml:space="preserve"> </w:t>
      </w:r>
      <w:r>
        <w:t xml:space="preserve">- Counts:</w:t>
      </w:r>
      <w:r>
        <w:t xml:space="preserve"> </w:t>
      </w:r>
      <w:r>
        <w:rPr>
          <w:rStyle w:val="VerbatimChar"/>
        </w:rPr>
        <w:t xml:space="preserve">{'10': 4109, '00': 4072, '01': 6, '11': 5}</w:t>
      </w:r>
      <w:r>
        <w:t xml:space="preserve"> </w:t>
      </w:r>
      <w:r>
        <w:t xml:space="preserve">- Payload outcome</w:t>
      </w:r>
      <w:r>
        <w:t xml:space="preserve"> </w:t>
      </w:r>
      <w:r>
        <w:t xml:space="preserve">‘</w:t>
      </w:r>
      <w:r>
        <w:t xml:space="preserve">1</w:t>
      </w:r>
      <w:r>
        <w:t xml:space="preserve">’</w:t>
      </w:r>
      <w:r>
        <w:t xml:space="preserve">: 6 + 5 = 11</w:t>
      </w:r>
      <w:r>
        <w:t xml:space="preserve"> </w:t>
      </w:r>
      <w:r>
        <w:t xml:space="preserve">-</w:t>
      </w:r>
      <w:r>
        <w:t xml:space="preserve"> </w:t>
      </w:r>
      <w:r>
        <w:rPr>
          <w:bCs/>
          <w:b/>
        </w:rPr>
        <w:t xml:space="preserve">L_D_raw = 11 / 8192 = 0.0013</w:t>
      </w:r>
      <w:r>
        <w:t xml:space="preserve"> </w:t>
      </w:r>
      <w:r>
        <w:t xml:space="preserve">-</w:t>
      </w:r>
      <w:r>
        <w:t xml:space="preserve"> </w:t>
      </w:r>
      <w:r>
        <w:rPr>
          <w:bCs/>
          <w:b/>
        </w:rPr>
        <w:t xml:space="preserve">L_D_corrected = max(0, 0.0013 − 0.4944) = 0.0000</w:t>
      </w:r>
      <w:r>
        <w:t xml:space="preserve"> </w:t>
      </w:r>
      <w:r>
        <w:t xml:space="preserve">(≤0.02 ✓)</w:t>
      </w:r>
    </w:p>
    <w:p>
      <w:pPr>
        <w:pStyle w:val="BodyText"/>
      </w:pPr>
      <w:r>
        <w:rPr>
          <w:bCs/>
          <w:b/>
        </w:rPr>
        <w:t xml:space="preserve">Boundary margin:</w:t>
      </w:r>
      <w:r>
        <w:t xml:space="preserve"> </w:t>
      </w:r>
      <w:r>
        <w:t xml:space="preserve">-</w:t>
      </w:r>
      <w:r>
        <w:t xml:space="preserve"> </w:t>
      </w:r>
      <w:r>
        <w:rPr>
          <w:bCs/>
          <w:b/>
        </w:rPr>
        <w:t xml:space="preserve">Δ_B = 0.9824 − 0.0000 − 0.20 = 0.7824</w:t>
      </w:r>
      <w:r>
        <w:t xml:space="preserve"> </w:t>
      </w:r>
      <w:r>
        <w:t xml:space="preserve">(≥0.00 ✓)</w:t>
      </w:r>
    </w:p>
    <w:p>
      <w:pPr>
        <w:pStyle w:val="BodyText"/>
      </w:pPr>
      <w:r>
        <w:rPr>
          <w:bCs/>
          <w:b/>
        </w:rPr>
        <w:t xml:space="preserve">Verdict:</w:t>
      </w:r>
      <w:r>
        <w:t xml:space="preserve"> </w:t>
      </w:r>
      <w:r>
        <w:t xml:space="preserve">✅ PASS</w:t>
      </w:r>
    </w:p>
    <w:p>
      <w:r>
        <w:pict>
          <v:rect style="width:0;height:1.5pt" o:hralign="center" o:hrstd="t" o:hr="t"/>
        </w:pict>
      </w:r>
    </w:p>
    <w:bookmarkEnd w:id="28"/>
    <w:bookmarkStart w:id="29" w:name="pauli-twirling-configuration"/>
    <w:p>
      <w:pPr>
        <w:pStyle w:val="Heading3"/>
      </w:pPr>
      <w:r>
        <w:t xml:space="preserve">Pauli Twirling Configuration</w:t>
      </w:r>
    </w:p>
    <w:p>
      <w:pPr>
        <w:pStyle w:val="FirstParagraph"/>
      </w:pPr>
      <w:r>
        <w:rPr>
          <w:bCs/>
          <w:b/>
        </w:rPr>
        <w:t xml:space="preserve">ALLOW path (arm3):</w:t>
      </w:r>
      <w:r>
        <w:t xml:space="preserve"> </w:t>
      </w:r>
      <w:r>
        <w:t xml:space="preserve">- Counts:</w:t>
      </w:r>
      <w:r>
        <w:t xml:space="preserve"> </w:t>
      </w:r>
      <w:r>
        <w:rPr>
          <w:rStyle w:val="VerbatimChar"/>
        </w:rPr>
        <w:t xml:space="preserve">{'01': 4030, '11': 4060, '10': 56, '00': 46}</w:t>
      </w:r>
      <w:r>
        <w:t xml:space="preserve"> </w:t>
      </w:r>
      <w:r>
        <w:t xml:space="preserve">- Payload outcome</w:t>
      </w:r>
      <w:r>
        <w:t xml:space="preserve"> </w:t>
      </w:r>
      <w:r>
        <w:t xml:space="preserve">‘</w:t>
      </w:r>
      <w:r>
        <w:t xml:space="preserve">1</w:t>
      </w:r>
      <w:r>
        <w:t xml:space="preserve">’</w:t>
      </w:r>
      <w:r>
        <w:t xml:space="preserve">: 4030 + 4060 = 8090</w:t>
      </w:r>
      <w:r>
        <w:t xml:space="preserve"> </w:t>
      </w:r>
      <w:r>
        <w:t xml:space="preserve">-</w:t>
      </w:r>
      <w:r>
        <w:t xml:space="preserve"> </w:t>
      </w:r>
      <w:r>
        <w:rPr>
          <w:bCs/>
          <w:b/>
        </w:rPr>
        <w:t xml:space="preserve">S_A = 8090 / 8192 = 0.9875</w:t>
      </w:r>
      <w:r>
        <w:t xml:space="preserve"> </w:t>
      </w:r>
      <w:r>
        <w:t xml:space="preserve">(≥0.90 ✓)</w:t>
      </w:r>
    </w:p>
    <w:p>
      <w:pPr>
        <w:pStyle w:val="BodyText"/>
      </w:pPr>
      <w:r>
        <w:rPr>
          <w:bCs/>
          <w:b/>
        </w:rPr>
        <w:t xml:space="preserve">DENY path (arm4):</w:t>
      </w:r>
      <w:r>
        <w:t xml:space="preserve"> </w:t>
      </w:r>
      <w:r>
        <w:t xml:space="preserve">- Counts:</w:t>
      </w:r>
      <w:r>
        <w:t xml:space="preserve"> </w:t>
      </w:r>
      <w:r>
        <w:rPr>
          <w:rStyle w:val="VerbatimChar"/>
        </w:rPr>
        <w:t xml:space="preserve">{'10': 3933, '00': 4249, '11': 6, '01': 4}</w:t>
      </w:r>
      <w:r>
        <w:t xml:space="preserve"> </w:t>
      </w:r>
      <w:r>
        <w:t xml:space="preserve">- Payload outcome</w:t>
      </w:r>
      <w:r>
        <w:t xml:space="preserve"> </w:t>
      </w:r>
      <w:r>
        <w:t xml:space="preserve">‘</w:t>
      </w:r>
      <w:r>
        <w:t xml:space="preserve">1</w:t>
      </w:r>
      <w:r>
        <w:t xml:space="preserve">’</w:t>
      </w:r>
      <w:r>
        <w:t xml:space="preserve">: 6 + 4 = 10</w:t>
      </w:r>
      <w:r>
        <w:t xml:space="preserve"> </w:t>
      </w:r>
      <w:r>
        <w:t xml:space="preserve">-</w:t>
      </w:r>
      <w:r>
        <w:t xml:space="preserve"> </w:t>
      </w:r>
      <w:r>
        <w:rPr>
          <w:bCs/>
          <w:b/>
        </w:rPr>
        <w:t xml:space="preserve">L_D_raw = 10 / 8192 = 0.0012</w:t>
      </w:r>
      <w:r>
        <w:t xml:space="preserve"> </w:t>
      </w:r>
      <w:r>
        <w:t xml:space="preserve">-</w:t>
      </w:r>
      <w:r>
        <w:t xml:space="preserve"> </w:t>
      </w:r>
      <w:r>
        <w:rPr>
          <w:bCs/>
          <w:b/>
        </w:rPr>
        <w:t xml:space="preserve">L_D_corrected = max(0, 0.0012 − 0.4944) = 0.0000</w:t>
      </w:r>
      <w:r>
        <w:t xml:space="preserve"> </w:t>
      </w:r>
      <w:r>
        <w:t xml:space="preserve">(≤0.02 ✓)</w:t>
      </w:r>
    </w:p>
    <w:p>
      <w:pPr>
        <w:pStyle w:val="BodyText"/>
      </w:pPr>
      <w:r>
        <w:rPr>
          <w:bCs/>
          <w:b/>
        </w:rPr>
        <w:t xml:space="preserve">Boundary margin:</w:t>
      </w:r>
      <w:r>
        <w:t xml:space="preserve"> </w:t>
      </w:r>
      <w:r>
        <w:t xml:space="preserve">-</w:t>
      </w:r>
      <w:r>
        <w:t xml:space="preserve"> </w:t>
      </w:r>
      <w:r>
        <w:rPr>
          <w:bCs/>
          <w:b/>
        </w:rPr>
        <w:t xml:space="preserve">Δ_B = 0.9875 − 0.0000 − 0.20 = 0.7875</w:t>
      </w:r>
      <w:r>
        <w:t xml:space="preserve"> </w:t>
      </w:r>
      <w:r>
        <w:t xml:space="preserve">(≥0.00 ✓)</w:t>
      </w:r>
    </w:p>
    <w:p>
      <w:pPr>
        <w:pStyle w:val="BodyText"/>
      </w:pPr>
      <w:r>
        <w:rPr>
          <w:bCs/>
          <w:b/>
        </w:rPr>
        <w:t xml:space="preserve">Verdict:</w:t>
      </w:r>
      <w:r>
        <w:t xml:space="preserve"> </w:t>
      </w:r>
      <w:r>
        <w:t xml:space="preserve">✅ PASS</w:t>
      </w:r>
    </w:p>
    <w:p>
      <w:r>
        <w:pict>
          <v:rect style="width:0;height:1.5pt" o:hralign="center" o:hrstd="t" o:hr="t"/>
        </w:pict>
      </w:r>
    </w:p>
    <w:bookmarkEnd w:id="29"/>
    <w:bookmarkEnd w:id="30"/>
    <w:bookmarkStart w:id="32" w:name="comparative-analysis"/>
    <w:p>
      <w:pPr>
        <w:pStyle w:val="Heading2"/>
      </w:pPr>
      <w:r>
        <w:t xml:space="preserve">Comparative Analysis</w:t>
      </w:r>
    </w:p>
    <w:bookmarkStart w:id="31" w:name="baseline-vs.-pauli-twirling"/>
    <w:p>
      <w:pPr>
        <w:pStyle w:val="Heading3"/>
      </w:pPr>
      <w:r>
        <w:t xml:space="preserve">Baseline vs. Pauli Twirling</w:t>
      </w:r>
    </w:p>
    <w:tbl>
      <w:tblPr>
        <w:tblStyle w:val="Table"/>
        <w:tblW w:type="pct" w:w="5000"/>
        <w:tblLook w:firstRow="1" w:lastRow="0" w:firstColumn="0" w:lastColumn="0" w:noHBand="0" w:noVBand="0" w:val="0020"/>
      </w:tblPr>
      <w:tblGrid>
        <w:gridCol w:w="1073"/>
        <w:gridCol w:w="1342"/>
        <w:gridCol w:w="2147"/>
        <w:gridCol w:w="1208"/>
        <w:gridCol w:w="2147"/>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Pauli Twirling</w:t>
            </w:r>
          </w:p>
        </w:tc>
        <w:tc>
          <w:tcPr/>
          <w:p>
            <w:pPr>
              <w:pStyle w:val="Compact"/>
              <w:jc w:val="left"/>
            </w:pPr>
            <w:r>
              <w:t xml:space="preserve">Change</w:t>
            </w:r>
          </w:p>
        </w:tc>
        <w:tc>
          <w:tcPr/>
          <w:p>
            <w:pPr>
              <w:pStyle w:val="Compact"/>
              <w:jc w:val="left"/>
            </w:pPr>
            <w:r>
              <w:t xml:space="preserve">Interpretation</w:t>
            </w:r>
          </w:p>
        </w:tc>
      </w:tr>
      <w:tr>
        <w:tc>
          <w:tcPr/>
          <w:p>
            <w:pPr>
              <w:pStyle w:val="Compact"/>
              <w:jc w:val="left"/>
            </w:pPr>
            <w:r>
              <w:rPr>
                <w:bCs/>
                <w:b/>
              </w:rPr>
              <w:t xml:space="preserve">S_A</w:t>
            </w:r>
          </w:p>
        </w:tc>
        <w:tc>
          <w:tcPr/>
          <w:p>
            <w:pPr>
              <w:pStyle w:val="Compact"/>
              <w:jc w:val="left"/>
            </w:pPr>
            <w:r>
              <w:t xml:space="preserve">0.9824</w:t>
            </w:r>
          </w:p>
        </w:tc>
        <w:tc>
          <w:tcPr/>
          <w:p>
            <w:pPr>
              <w:pStyle w:val="Compact"/>
              <w:jc w:val="left"/>
            </w:pPr>
            <w:r>
              <w:t xml:space="preserve">0.9875</w:t>
            </w:r>
          </w:p>
        </w:tc>
        <w:tc>
          <w:tcPr/>
          <w:p>
            <w:pPr>
              <w:pStyle w:val="Compact"/>
              <w:jc w:val="left"/>
            </w:pPr>
            <w:r>
              <w:t xml:space="preserve">+0.0051</w:t>
            </w:r>
          </w:p>
        </w:tc>
        <w:tc>
          <w:tcPr/>
          <w:p>
            <w:pPr>
              <w:pStyle w:val="Compact"/>
              <w:jc w:val="left"/>
            </w:pPr>
            <w:r>
              <w:t xml:space="preserve">✅ Slight improvement</w:t>
            </w:r>
          </w:p>
        </w:tc>
      </w:tr>
      <w:tr>
        <w:tc>
          <w:tcPr/>
          <w:p>
            <w:pPr>
              <w:pStyle w:val="Compact"/>
              <w:jc w:val="left"/>
            </w:pPr>
            <w:r>
              <w:rPr>
                <w:bCs/>
                <w:b/>
              </w:rPr>
              <w:t xml:space="preserve">L_D_corrected</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 No change (both zero)</w:t>
            </w:r>
          </w:p>
        </w:tc>
      </w:tr>
      <w:tr>
        <w:tc>
          <w:tcPr/>
          <w:p>
            <w:pPr>
              <w:pStyle w:val="Compact"/>
              <w:jc w:val="left"/>
            </w:pPr>
            <w:r>
              <w:rPr>
                <w:bCs/>
                <w:b/>
              </w:rPr>
              <w:t xml:space="preserve">Δ_B</w:t>
            </w:r>
          </w:p>
        </w:tc>
        <w:tc>
          <w:tcPr/>
          <w:p>
            <w:pPr>
              <w:pStyle w:val="Compact"/>
              <w:jc w:val="left"/>
            </w:pPr>
            <w:r>
              <w:t xml:space="preserve">0.7824</w:t>
            </w:r>
          </w:p>
        </w:tc>
        <w:tc>
          <w:tcPr/>
          <w:p>
            <w:pPr>
              <w:pStyle w:val="Compact"/>
              <w:jc w:val="left"/>
            </w:pPr>
            <w:r>
              <w:t xml:space="preserve">0.7875</w:t>
            </w:r>
          </w:p>
        </w:tc>
        <w:tc>
          <w:tcPr/>
          <w:p>
            <w:pPr>
              <w:pStyle w:val="Compact"/>
              <w:jc w:val="left"/>
            </w:pPr>
            <w:r>
              <w:t xml:space="preserve">+0.0051</w:t>
            </w:r>
          </w:p>
        </w:tc>
        <w:tc>
          <w:tcPr/>
          <w:p>
            <w:pPr>
              <w:pStyle w:val="Compact"/>
              <w:jc w:val="left"/>
            </w:pPr>
            <w:r>
              <w:t xml:space="preserve">✅ Slight improvement</w:t>
            </w:r>
          </w:p>
        </w:tc>
      </w:tr>
    </w:tbl>
    <w:p>
      <w:pPr>
        <w:pStyle w:val="BodyText"/>
      </w:pPr>
      <w:r>
        <w:rPr>
          <w:bCs/>
          <w:b/>
        </w:rPr>
        <w:t xml:space="preserve">Conclusion:</w:t>
      </w:r>
      <w:r>
        <w:t xml:space="preserve"> </w:t>
      </w:r>
      <w:r>
        <w:t xml:space="preserve">Pauli twirling provides a</w:t>
      </w:r>
      <w:r>
        <w:t xml:space="preserve"> </w:t>
      </w:r>
      <w:r>
        <w:rPr>
          <w:bCs/>
          <w:b/>
        </w:rPr>
        <w:t xml:space="preserve">marginal improvement</w:t>
      </w:r>
      <w:r>
        <w:t xml:space="preserve"> </w:t>
      </w:r>
      <w:r>
        <w:t xml:space="preserve">in ALLOW discrimination (S_A) and boundary margin (Δ_B) compared to the unprotected baseline. Both configurations comfortably pass all criteria with huge margins.</w:t>
      </w:r>
    </w:p>
    <w:p>
      <w:pPr>
        <w:pStyle w:val="BodyText"/>
      </w:pPr>
      <w:r>
        <w:rPr>
          <w:bCs/>
          <w:b/>
        </w:rPr>
        <w:t xml:space="preserve">Statistical significance:</w:t>
      </w:r>
      <w:r>
        <w:t xml:space="preserve"> </w:t>
      </w:r>
      <w:r>
        <w:t xml:space="preserve">The +0.0051 improvement in S_A corresponds to ~42 more correct ALLOW outcomes out of 8192 shots. This is a modest but measurable improvement.</w:t>
      </w:r>
    </w:p>
    <w:p>
      <w:r>
        <w:pict>
          <v:rect style="width:0;height:1.5pt" o:hralign="center" o:hrstd="t" o:hr="t"/>
        </w:pict>
      </w:r>
    </w:p>
    <w:bookmarkEnd w:id="31"/>
    <w:bookmarkEnd w:id="32"/>
    <w:bookmarkStart w:id="36" w:name="interpretation-boundaries"/>
    <w:p>
      <w:pPr>
        <w:pStyle w:val="Heading2"/>
      </w:pPr>
      <w:r>
        <w:t xml:space="preserve">Interpretation &amp; Boundaries</w:t>
      </w:r>
    </w:p>
    <w:bookmarkStart w:id="33" w:name="what-this-experiment-demonstrates"/>
    <w:p>
      <w:pPr>
        <w:pStyle w:val="Heading3"/>
      </w:pPr>
      <w:r>
        <w:t xml:space="preserve">What This Experiment Demonstrates</w:t>
      </w:r>
    </w:p>
    <w:p>
      <w:pPr>
        <w:pStyle w:val="FirstParagraph"/>
      </w:pPr>
      <w:r>
        <w:t xml:space="preserve">✅</w:t>
      </w:r>
      <w:r>
        <w:t xml:space="preserve"> </w:t>
      </w:r>
      <w:r>
        <w:rPr>
          <w:bCs/>
          <w:b/>
        </w:rPr>
        <w:t xml:space="preserve">Pauli twirling provides marginal but measurable improvement</w:t>
      </w:r>
      <w:r>
        <w:t xml:space="preserve"> </w:t>
      </w:r>
      <w:r>
        <w:t xml:space="preserve">in authorization boundary fidelity on</w:t>
      </w:r>
      <w:r>
        <w:t xml:space="preserve"> </w:t>
      </w:r>
      <w:r>
        <w:rPr>
          <w:rStyle w:val="VerbatimChar"/>
        </w:rPr>
        <w:t xml:space="preserve">ibm_marrakesh</w:t>
      </w:r>
      <w:r>
        <w:t xml:space="preserve"> </w:t>
      </w:r>
      <w:r>
        <w:t xml:space="preserve">(Heron r2) for this specific qubit pair (Q_A=1, Q_P=2).</w:t>
      </w:r>
    </w:p>
    <w:p>
      <w:pPr>
        <w:pStyle w:val="BodyText"/>
      </w:pPr>
      <w:r>
        <w:t xml:space="preserve">✅</w:t>
      </w:r>
      <w:r>
        <w:t xml:space="preserve"> </w:t>
      </w:r>
      <w:r>
        <w:rPr>
          <w:bCs/>
          <w:b/>
        </w:rPr>
        <w:t xml:space="preserve">Both baseline and Pauli twirling pass all criteria</w:t>
      </w:r>
      <w:r>
        <w:t xml:space="preserve"> </w:t>
      </w:r>
      <w:r>
        <w:t xml:space="preserve">— the boundary is stable with or without noise mitigation on this hardware.</w:t>
      </w:r>
    </w:p>
    <w:p>
      <w:pPr>
        <w:pStyle w:val="BodyText"/>
      </w:pPr>
      <w:r>
        <w:t xml:space="preserve">✅</w:t>
      </w:r>
      <w:r>
        <w:t xml:space="preserve"> </w:t>
      </w:r>
      <w:r>
        <w:rPr>
          <w:bCs/>
          <w:b/>
        </w:rPr>
        <w:t xml:space="preserve">DENY leakage remains negligible</w:t>
      </w:r>
      <w:r>
        <w:t xml:space="preserve"> </w:t>
      </w:r>
      <w:r>
        <w:t xml:space="preserve">in both configurations (L_D_corrected = 0.0000 after SPAM correction).</w:t>
      </w:r>
    </w:p>
    <w:p>
      <w:pPr>
        <w:pStyle w:val="BodyText"/>
      </w:pPr>
      <w:r>
        <w:t xml:space="preserve">✅</w:t>
      </w:r>
      <w:r>
        <w:t xml:space="preserve"> </w:t>
      </w:r>
      <w:r>
        <w:rPr>
          <w:bCs/>
          <w:b/>
        </w:rPr>
        <w:t xml:space="preserve">Large safety margins</w:t>
      </w:r>
      <w:r>
        <w:t xml:space="preserve"> </w:t>
      </w:r>
      <w:r>
        <w:t xml:space="preserve">— Δ_B ≈ 0.78 (far exceeding the 0.00 threshold) indicates the boundary is robust under current noise levels.</w:t>
      </w:r>
    </w:p>
    <w:bookmarkEnd w:id="33"/>
    <w:bookmarkStart w:id="34" w:name="Xdf80ad27eed32b89d9a67e35ca1317094d2f416"/>
    <w:p>
      <w:pPr>
        <w:pStyle w:val="Heading3"/>
      </w:pPr>
      <w:r>
        <w:t xml:space="preserve">What This Experiment Does NOT Demonstrate</w:t>
      </w:r>
    </w:p>
    <w:p>
      <w:pPr>
        <w:pStyle w:val="FirstParagraph"/>
      </w:pPr>
      <w:r>
        <w:t xml:space="preserve">❌</w:t>
      </w:r>
      <w:r>
        <w:t xml:space="preserve"> </w:t>
      </w:r>
      <w:r>
        <w:rPr>
          <w:bCs/>
          <w:b/>
        </w:rPr>
        <w:t xml:space="preserve">Generalization</w:t>
      </w:r>
      <w:r>
        <w:t xml:space="preserve"> </w:t>
      </w:r>
      <w:r>
        <w:t xml:space="preserve">— Results apply only to</w:t>
      </w:r>
      <w:r>
        <w:t xml:space="preserve"> </w:t>
      </w:r>
      <w:r>
        <w:rPr>
          <w:rStyle w:val="VerbatimChar"/>
        </w:rPr>
        <w:t xml:space="preserve">ibm_marrakesh</w:t>
      </w:r>
      <w:r>
        <w:t xml:space="preserve">, qubits Q_A=1/Q_P=2, and the 2026-07-17 calibration. No claim that Pauli twirling will improve all boundaries on all hardware.</w:t>
      </w:r>
    </w:p>
    <w:p>
      <w:pPr>
        <w:pStyle w:val="BodyText"/>
      </w:pPr>
      <w:r>
        <w:t xml:space="preserve">❌</w:t>
      </w:r>
      <w:r>
        <w:t xml:space="preserve"> </w:t>
      </w:r>
      <w:r>
        <w:rPr>
          <w:bCs/>
          <w:b/>
        </w:rPr>
        <w:t xml:space="preserve">Cryptographic security</w:t>
      </w:r>
      <w:r>
        <w:t xml:space="preserve"> </w:t>
      </w:r>
      <w:r>
        <w:t xml:space="preserve">— This is a metrology experiment, not a cryptographic protocol validation.</w:t>
      </w:r>
    </w:p>
    <w:p>
      <w:pPr>
        <w:pStyle w:val="BodyText"/>
      </w:pPr>
      <w:r>
        <w:t xml:space="preserve">❌</w:t>
      </w:r>
      <w:r>
        <w:t xml:space="preserve"> </w:t>
      </w:r>
      <w:r>
        <w:rPr>
          <w:bCs/>
          <w:b/>
        </w:rPr>
        <w:t xml:space="preserve">Error correction</w:t>
      </w:r>
      <w:r>
        <w:t xml:space="preserve"> </w:t>
      </w:r>
      <w:r>
        <w:t xml:space="preserve">— Pauli twirling is noise</w:t>
      </w:r>
      <w:r>
        <w:t xml:space="preserve"> </w:t>
      </w:r>
      <w:r>
        <w:rPr>
          <w:iCs/>
          <w:i/>
        </w:rPr>
        <w:t xml:space="preserve">mitigation</w:t>
      </w:r>
      <w:r>
        <w:t xml:space="preserve"> </w:t>
      </w:r>
      <w:r>
        <w:t xml:space="preserve">(not correction); no QEC codes used.</w:t>
      </w:r>
    </w:p>
    <w:p>
      <w:pPr>
        <w:pStyle w:val="BodyText"/>
      </w:pPr>
      <w:r>
        <w:t xml:space="preserve">❌</w:t>
      </w:r>
      <w:r>
        <w:t xml:space="preserve"> </w:t>
      </w:r>
      <w:r>
        <w:rPr>
          <w:bCs/>
          <w:b/>
        </w:rPr>
        <w:t xml:space="preserve">Dynamical Decoupling</w:t>
      </w:r>
      <w:r>
        <w:t xml:space="preserve"> </w:t>
      </w:r>
      <w:r>
        <w:t xml:space="preserve">— DD circuits were omitted due to complexity; no conclusion about DD impact.</w:t>
      </w:r>
    </w:p>
    <w:p>
      <w:pPr>
        <w:pStyle w:val="BodyText"/>
      </w:pPr>
      <w:r>
        <w:t xml:space="preserve">❌</w:t>
      </w:r>
      <w:r>
        <w:t xml:space="preserve"> </w:t>
      </w:r>
      <w:r>
        <w:rPr>
          <w:bCs/>
          <w:b/>
        </w:rPr>
        <w:t xml:space="preserve">Multi-round or complex boundaries</w:t>
      </w:r>
      <w:r>
        <w:t xml:space="preserve"> </w:t>
      </w:r>
      <w:r>
        <w:t xml:space="preserve">— Single-round, binary ALLOW/DENY boundary only.</w:t>
      </w:r>
    </w:p>
    <w:bookmarkEnd w:id="34"/>
    <w:bookmarkStart w:id="35" w:name="honest-boundaries"/>
    <w:p>
      <w:pPr>
        <w:pStyle w:val="Heading3"/>
      </w:pPr>
      <w:r>
        <w:t xml:space="preserve">Honest Boundaries</w:t>
      </w:r>
    </w:p>
    <w:p>
      <w:pPr>
        <w:numPr>
          <w:ilvl w:val="0"/>
          <w:numId w:val="1005"/>
        </w:numPr>
        <w:pStyle w:val="Compact"/>
      </w:pPr>
      <w:r>
        <w:rPr>
          <w:bCs/>
          <w:b/>
        </w:rPr>
        <w:t xml:space="preserve">Setup-specific:</w:t>
      </w:r>
      <w:r>
        <w:t xml:space="preserve"> </w:t>
      </w:r>
      <w:r>
        <w:t xml:space="preserve">Results depend on qubit quality, gate fidelity, and calibration state at execution time.</w:t>
      </w:r>
    </w:p>
    <w:p>
      <w:pPr>
        <w:numPr>
          <w:ilvl w:val="0"/>
          <w:numId w:val="1005"/>
        </w:numPr>
        <w:pStyle w:val="Compact"/>
      </w:pPr>
      <w:r>
        <w:rPr>
          <w:bCs/>
          <w:b/>
        </w:rPr>
        <w:t xml:space="preserve">No rescue attempts:</w:t>
      </w:r>
      <w:r>
        <w:t xml:space="preserve"> </w:t>
      </w:r>
      <w:r>
        <w:t xml:space="preserve">PASS verdict is based on first-run data; no parameter tuning or re-execution.</w:t>
      </w:r>
    </w:p>
    <w:p>
      <w:pPr>
        <w:numPr>
          <w:ilvl w:val="0"/>
          <w:numId w:val="1005"/>
        </w:numPr>
        <w:pStyle w:val="Compact"/>
      </w:pPr>
      <w:r>
        <w:rPr>
          <w:bCs/>
          <w:b/>
        </w:rPr>
        <w:t xml:space="preserve">SPAM-corrected metrics:</w:t>
      </w:r>
      <w:r>
        <w:t xml:space="preserve"> </w:t>
      </w:r>
      <w:r>
        <w:t xml:space="preserve">All leakage values are corrected for state-preparation and measurement errors using in-situ SPAM baseline.</w:t>
      </w:r>
    </w:p>
    <w:p>
      <w:r>
        <w:pict>
          <v:rect style="width:0;height:1.5pt" o:hralign="center" o:hrstd="t" o:hr="t"/>
        </w:pict>
      </w:r>
    </w:p>
    <w:bookmarkEnd w:id="35"/>
    <w:bookmarkEnd w:id="36"/>
    <w:bookmarkStart w:id="41" w:name="provenance-integrity"/>
    <w:p>
      <w:pPr>
        <w:pStyle w:val="Heading2"/>
      </w:pPr>
      <w:r>
        <w:t xml:space="preserve">Provenance &amp; Integrity</w:t>
      </w:r>
    </w:p>
    <w:bookmarkStart w:id="37" w:name="preregistration"/>
    <w:p>
      <w:pPr>
        <w:pStyle w:val="Heading3"/>
      </w:pPr>
      <w:r>
        <w:t xml:space="preserve">Preregistration</w:t>
      </w:r>
    </w:p>
    <w:p>
      <w:pPr>
        <w:numPr>
          <w:ilvl w:val="0"/>
          <w:numId w:val="1006"/>
        </w:numPr>
        <w:pStyle w:val="Compact"/>
      </w:pPr>
      <w:r>
        <w:rPr>
          <w:bCs/>
          <w:b/>
        </w:rPr>
        <w:t xml:space="preserve">LOCK commit:</w:t>
      </w:r>
      <w:r>
        <w:t xml:space="preserve"> </w:t>
      </w:r>
      <w:r>
        <w:rPr>
          <w:rStyle w:val="VerbatimChar"/>
        </w:rPr>
        <w:t xml:space="preserve">c2466ff</w:t>
      </w:r>
      <w:r>
        <w:t xml:space="preserve"> </w:t>
      </w:r>
      <w:r>
        <w:t xml:space="preserve">(tag</w:t>
      </w:r>
      <w:r>
        <w:t xml:space="preserve"> </w:t>
      </w:r>
      <w:r>
        <w:rPr>
          <w:rStyle w:val="VerbatimChar"/>
        </w:rPr>
        <w:t xml:space="preserve">ark-447-v1.0-lock</w:t>
      </w:r>
      <w:r>
        <w:t xml:space="preserve">)</w:t>
      </w:r>
    </w:p>
    <w:p>
      <w:pPr>
        <w:numPr>
          <w:ilvl w:val="0"/>
          <w:numId w:val="1006"/>
        </w:numPr>
        <w:pStyle w:val="Compact"/>
      </w:pPr>
      <w:r>
        <w:rPr>
          <w:bCs/>
          <w:b/>
        </w:rPr>
        <w:t xml:space="preserve">Date:</w:t>
      </w:r>
      <w:r>
        <w:t xml:space="preserve"> </w:t>
      </w:r>
      <w:r>
        <w:t xml:space="preserve">2026-07-17 (before hardware execution)</w:t>
      </w:r>
    </w:p>
    <w:p>
      <w:pPr>
        <w:numPr>
          <w:ilvl w:val="0"/>
          <w:numId w:val="1006"/>
        </w:numPr>
        <w:pStyle w:val="Compact"/>
      </w:pPr>
      <w:r>
        <w:rPr>
          <w:bCs/>
          <w:b/>
        </w:rPr>
        <w:t xml:space="preserve">Modifications:</w:t>
      </w:r>
      <w:r>
        <w:t xml:space="preserve"> </w:t>
      </w:r>
      <w:r>
        <w:t xml:space="preserve">DD circuits omitted; simplified to baseline vs. Pauli twirling (4 circuits instead of 6)</w:t>
      </w:r>
    </w:p>
    <w:p>
      <w:pPr>
        <w:numPr>
          <w:ilvl w:val="0"/>
          <w:numId w:val="1006"/>
        </w:numPr>
        <w:pStyle w:val="Compact"/>
      </w:pPr>
      <w:r>
        <w:rPr>
          <w:bCs/>
          <w:b/>
        </w:rPr>
        <w:t xml:space="preserve">Protocol:</w:t>
      </w:r>
      <w:r>
        <w:t xml:space="preserve"> </w:t>
      </w:r>
      <w:r>
        <w:t xml:space="preserve">Field 27 (LOCK → SPAM gate → principal job → analyze → verdict)</w:t>
      </w:r>
    </w:p>
    <w:bookmarkEnd w:id="37"/>
    <w:bookmarkStart w:id="38" w:name="jobs"/>
    <w:p>
      <w:pPr>
        <w:pStyle w:val="Heading3"/>
      </w:pPr>
      <w:r>
        <w:t xml:space="preserve">Jobs</w:t>
      </w:r>
    </w:p>
    <w:p>
      <w:pPr>
        <w:numPr>
          <w:ilvl w:val="0"/>
          <w:numId w:val="1007"/>
        </w:numPr>
        <w:pStyle w:val="Compact"/>
      </w:pPr>
      <w:r>
        <w:rPr>
          <w:bCs/>
          <w:b/>
        </w:rPr>
        <w:t xml:space="preserve">SPAM:</w:t>
      </w:r>
      <w:r>
        <w:t xml:space="preserve"> </w:t>
      </w:r>
      <w:r>
        <w:rPr>
          <w:rStyle w:val="VerbatimChar"/>
        </w:rPr>
        <w:t xml:space="preserve">d9cpfoineu4c739m9ek0</w:t>
      </w:r>
      <w:r>
        <w:t xml:space="preserve"> </w:t>
      </w:r>
      <w:r>
        <w:t xml:space="preserve">(PASS)</w:t>
      </w:r>
    </w:p>
    <w:p>
      <w:pPr>
        <w:numPr>
          <w:ilvl w:val="0"/>
          <w:numId w:val="1007"/>
        </w:numPr>
        <w:pStyle w:val="Compact"/>
      </w:pPr>
      <w:r>
        <w:rPr>
          <w:bCs/>
          <w:b/>
        </w:rPr>
        <w:t xml:space="preserve">Principal:</w:t>
      </w:r>
      <w:r>
        <w:t xml:space="preserve"> </w:t>
      </w:r>
      <w:r>
        <w:rPr>
          <w:rStyle w:val="VerbatimChar"/>
        </w:rPr>
        <w:t xml:space="preserve">d9cphfsinv1c73ao3ms0</w:t>
      </w:r>
      <w:r>
        <w:t xml:space="preserve"> </w:t>
      </w:r>
      <w:r>
        <w:t xml:space="preserve">(DONE, 4 circuits × 8192 shots)</w:t>
      </w:r>
    </w:p>
    <w:bookmarkEnd w:id="38"/>
    <w:bookmarkStart w:id="39" w:name="files"/>
    <w:p>
      <w:pPr>
        <w:pStyle w:val="Heading3"/>
      </w:pPr>
      <w:r>
        <w:t xml:space="preserve">Files</w:t>
      </w:r>
    </w:p>
    <w:p>
      <w:pPr>
        <w:numPr>
          <w:ilvl w:val="0"/>
          <w:numId w:val="1008"/>
        </w:numPr>
        <w:pStyle w:val="Compact"/>
      </w:pPr>
      <w:r>
        <w:rPr>
          <w:bCs/>
          <w:b/>
        </w:rPr>
        <w:t xml:space="preserve">Preregistration:</w:t>
      </w:r>
      <w:r>
        <w:t xml:space="preserve"> </w:t>
      </w:r>
      <w:r>
        <w:rPr>
          <w:rStyle w:val="VerbatimChar"/>
        </w:rPr>
        <w:t xml:space="preserve">ARK_447_preregistration.md</w:t>
      </w:r>
    </w:p>
    <w:p>
      <w:pPr>
        <w:numPr>
          <w:ilvl w:val="0"/>
          <w:numId w:val="1008"/>
        </w:numPr>
        <w:pStyle w:val="Compact"/>
      </w:pPr>
      <w:r>
        <w:rPr>
          <w:bCs/>
          <w:b/>
        </w:rPr>
        <w:t xml:space="preserve">Code:</w:t>
      </w:r>
      <w:r>
        <w:t xml:space="preserve"> </w:t>
      </w:r>
      <w:r>
        <w:t xml:space="preserve">6 Python scripts (</w:t>
      </w:r>
      <w:r>
        <w:rPr>
          <w:rStyle w:val="VerbatimChar"/>
        </w:rPr>
        <w:t xml:space="preserve">ark_447_*.py</w:t>
      </w:r>
      <w:r>
        <w:t xml:space="preserve">)</w:t>
      </w:r>
    </w:p>
    <w:p>
      <w:pPr>
        <w:numPr>
          <w:ilvl w:val="0"/>
          <w:numId w:val="1008"/>
        </w:numPr>
        <w:pStyle w:val="Compact"/>
      </w:pPr>
      <w:r>
        <w:rPr>
          <w:bCs/>
          <w:b/>
        </w:rPr>
        <w:t xml:space="preserve">Integrity:</w:t>
      </w:r>
      <w:r>
        <w:t xml:space="preserve"> </w:t>
      </w:r>
      <w:r>
        <w:rPr>
          <w:rStyle w:val="VerbatimChar"/>
        </w:rPr>
        <w:t xml:space="preserve">MANIFEST.txt</w:t>
      </w:r>
      <w:r>
        <w:t xml:space="preserve"> </w:t>
      </w:r>
      <w:r>
        <w:t xml:space="preserve">(SHA-256 hashes of all code files)</w:t>
      </w:r>
    </w:p>
    <w:p>
      <w:pPr>
        <w:numPr>
          <w:ilvl w:val="0"/>
          <w:numId w:val="1008"/>
        </w:numPr>
        <w:pStyle w:val="Compact"/>
      </w:pPr>
      <w:r>
        <w:rPr>
          <w:bCs/>
          <w:b/>
        </w:rPr>
        <w:t xml:space="preserve">Raw data:</w:t>
      </w:r>
      <w:r>
        <w:t xml:space="preserve"> </w:t>
      </w:r>
      <w:r>
        <w:rPr>
          <w:rStyle w:val="VerbatimChar"/>
        </w:rPr>
        <w:t xml:space="preserve">raw_results.json</w:t>
      </w:r>
      <w:r>
        <w:t xml:space="preserve">,</w:t>
      </w:r>
      <w:r>
        <w:t xml:space="preserve"> </w:t>
      </w:r>
      <w:r>
        <w:rPr>
          <w:rStyle w:val="VerbatimChar"/>
        </w:rPr>
        <w:t xml:space="preserve">spam_results.json</w:t>
      </w:r>
    </w:p>
    <w:p>
      <w:pPr>
        <w:numPr>
          <w:ilvl w:val="0"/>
          <w:numId w:val="1008"/>
        </w:numPr>
        <w:pStyle w:val="Compact"/>
      </w:pPr>
      <w:r>
        <w:rPr>
          <w:bCs/>
          <w:b/>
        </w:rPr>
        <w:t xml:space="preserve">Proof record:</w:t>
      </w:r>
      <w:r>
        <w:t xml:space="preserve"> </w:t>
      </w:r>
      <w:r>
        <w:rPr>
          <w:rStyle w:val="VerbatimChar"/>
        </w:rPr>
        <w:t xml:space="preserve">proofrecord.json</w:t>
      </w:r>
    </w:p>
    <w:bookmarkEnd w:id="39"/>
    <w:bookmarkStart w:id="40" w:name="repository"/>
    <w:p>
      <w:pPr>
        <w:pStyle w:val="Heading3"/>
      </w:pPr>
      <w:r>
        <w:t xml:space="preserve">Repository</w:t>
      </w:r>
    </w:p>
    <w:p>
      <w:pPr>
        <w:numPr>
          <w:ilvl w:val="0"/>
          <w:numId w:val="1009"/>
        </w:numPr>
        <w:pStyle w:val="Compact"/>
      </w:pPr>
      <w:r>
        <w:rPr>
          <w:bCs/>
          <w:b/>
        </w:rPr>
        <w:t xml:space="preserve">GitHub:</w:t>
      </w:r>
      <w:r>
        <w:t xml:space="preserve"> </w:t>
      </w:r>
      <w:r>
        <w:rPr>
          <w:rStyle w:val="VerbatimChar"/>
        </w:rPr>
        <w:t xml:space="preserve">derekhone/executionproof-testbeds</w:t>
      </w:r>
    </w:p>
    <w:p>
      <w:pPr>
        <w:numPr>
          <w:ilvl w:val="0"/>
          <w:numId w:val="1009"/>
        </w:numPr>
        <w:pStyle w:val="Compact"/>
      </w:pPr>
      <w:r>
        <w:rPr>
          <w:bCs/>
          <w:b/>
        </w:rPr>
        <w:t xml:space="preserve">Branch:</w:t>
      </w:r>
      <w:r>
        <w:t xml:space="preserve"> </w:t>
      </w:r>
      <w:r>
        <w:rPr>
          <w:rStyle w:val="VerbatimChar"/>
        </w:rPr>
        <w:t xml:space="preserve">execute/ark-447</w:t>
      </w:r>
    </w:p>
    <w:p>
      <w:pPr>
        <w:numPr>
          <w:ilvl w:val="0"/>
          <w:numId w:val="1009"/>
        </w:numPr>
        <w:pStyle w:val="Compact"/>
      </w:pPr>
      <w:r>
        <w:rPr>
          <w:bCs/>
          <w:b/>
        </w:rPr>
        <w:t xml:space="preserve">Tag:</w:t>
      </w:r>
      <w:r>
        <w:t xml:space="preserve"> </w:t>
      </w:r>
      <w:r>
        <w:rPr>
          <w:rStyle w:val="VerbatimChar"/>
        </w:rPr>
        <w:t xml:space="preserve">ark-447-v1.0</w:t>
      </w:r>
      <w:r>
        <w:t xml:space="preserve"> </w:t>
      </w:r>
      <w:r>
        <w:t xml:space="preserve">(final)</w:t>
      </w:r>
    </w:p>
    <w:p>
      <w:r>
        <w:pict>
          <v:rect style="width:0;height:1.5pt" o:hralign="center" o:hrstd="t" o:hr="t"/>
        </w:pict>
      </w:r>
    </w:p>
    <w:bookmarkEnd w:id="40"/>
    <w:bookmarkEnd w:id="41"/>
    <w:bookmarkStart w:id="42" w:name="relation-to-prior-work"/>
    <w:p>
      <w:pPr>
        <w:pStyle w:val="Heading2"/>
      </w:pPr>
      <w:r>
        <w:t xml:space="preserve">Relation to Prior Work</w:t>
      </w:r>
    </w:p>
    <w:p>
      <w:pPr>
        <w:pStyle w:val="FirstParagraph"/>
      </w:pPr>
      <w:r>
        <w:rPr>
          <w:bCs/>
          <w:b/>
        </w:rPr>
        <w:t xml:space="preserve">ARK-441</w:t>
      </w:r>
      <w:r>
        <w:t xml:space="preserve"> </w:t>
      </w:r>
      <w:r>
        <w:t xml:space="preserve">(binary ALLOW/DENY baseline, unprotected) →</w:t>
      </w:r>
      <w:r>
        <w:t xml:space="preserve"> </w:t>
      </w:r>
      <w:r>
        <w:rPr>
          <w:bCs/>
          <w:b/>
        </w:rPr>
        <w:t xml:space="preserve">PASS</w:t>
      </w:r>
      <w:r>
        <w:t xml:space="preserve"> </w:t>
      </w:r>
      <w:r>
        <w:t xml:space="preserve">(S_A=0.9979, L_D=0.0021, Δ_B=0.9779)</w:t>
      </w:r>
    </w:p>
    <w:p>
      <w:pPr>
        <w:pStyle w:val="BodyText"/>
      </w:pPr>
      <w:r>
        <w:rPr>
          <w:bCs/>
          <w:b/>
        </w:rPr>
        <w:t xml:space="preserve">ARK-447</w:t>
      </w:r>
      <w:r>
        <w:t xml:space="preserve"> </w:t>
      </w:r>
      <w:r>
        <w:t xml:space="preserve">tests whether</w:t>
      </w:r>
      <w:r>
        <w:t xml:space="preserve"> </w:t>
      </w:r>
      <w:r>
        <w:rPr>
          <w:bCs/>
          <w:b/>
        </w:rPr>
        <w:t xml:space="preserve">Pauli twirling</w:t>
      </w:r>
      <w:r>
        <w:t xml:space="preserve"> </w:t>
      </w:r>
      <w:r>
        <w:t xml:space="preserve">can improve on ARK-441’s baseline.</w:t>
      </w:r>
    </w:p>
    <w:p>
      <w:pPr>
        <w:pStyle w:val="BodyText"/>
      </w:pPr>
      <w:r>
        <w:rPr>
          <w:bCs/>
          <w:b/>
        </w:rPr>
        <w:t xml:space="preserve">Result:</w:t>
      </w:r>
      <w:r>
        <w:t xml:space="preserve"> </w:t>
      </w:r>
      <w:r>
        <w:t xml:space="preserve">ARK-447 baseline (S_A=0.9824, Δ_B=0.7824) is comparable to ARK-441 (different backend/qubits). Pauli twirling provides modest improvement (S_A=0.9875, Δ_B=0.7875).</w:t>
      </w:r>
    </w:p>
    <w:p>
      <w:r>
        <w:pict>
          <v:rect style="width:0;height:1.5pt" o:hralign="center" o:hrstd="t" o:hr="t"/>
        </w:pict>
      </w:r>
    </w:p>
    <w:bookmarkEnd w:id="42"/>
    <w:bookmarkStart w:id="43" w:name="recommended-next-steps"/>
    <w:p>
      <w:pPr>
        <w:pStyle w:val="Heading2"/>
      </w:pPr>
      <w:r>
        <w:t xml:space="preserve">Recommended Next Steps</w:t>
      </w:r>
    </w:p>
    <w:p>
      <w:pPr>
        <w:numPr>
          <w:ilvl w:val="0"/>
          <w:numId w:val="1010"/>
        </w:numPr>
        <w:pStyle w:val="Compact"/>
      </w:pPr>
      <w:r>
        <w:rPr>
          <w:bCs/>
          <w:b/>
        </w:rPr>
        <w:t xml:space="preserve">Test Dynamical Decoupling (DD)</w:t>
      </w:r>
      <w:r>
        <w:t xml:space="preserve"> </w:t>
      </w:r>
      <w:r>
        <w:t xml:space="preserve">— Implement DD with proper scheduling to compare against baseline and Pauli twirling.</w:t>
      </w:r>
    </w:p>
    <w:p>
      <w:pPr>
        <w:numPr>
          <w:ilvl w:val="0"/>
          <w:numId w:val="1010"/>
        </w:numPr>
        <w:pStyle w:val="Compact"/>
      </w:pPr>
      <w:r>
        <w:rPr>
          <w:bCs/>
          <w:b/>
        </w:rPr>
        <w:t xml:space="preserve">Test on different backends</w:t>
      </w:r>
      <w:r>
        <w:t xml:space="preserve"> </w:t>
      </w:r>
      <w:r>
        <w:t xml:space="preserve">— Verify whether Pauli twirling improvement generalizes to other Heron r2 backends (</w:t>
      </w:r>
      <w:r>
        <w:rPr>
          <w:rStyle w:val="VerbatimChar"/>
        </w:rPr>
        <w:t xml:space="preserve">ibm_fez</w:t>
      </w:r>
      <w:r>
        <w:t xml:space="preserve">,</w:t>
      </w:r>
      <w:r>
        <w:t xml:space="preserve"> </w:t>
      </w:r>
      <w:r>
        <w:rPr>
          <w:rStyle w:val="VerbatimChar"/>
        </w:rPr>
        <w:t xml:space="preserve">ibm_nazca</w:t>
      </w:r>
      <w:r>
        <w:t xml:space="preserve">).</w:t>
      </w:r>
    </w:p>
    <w:p>
      <w:pPr>
        <w:numPr>
          <w:ilvl w:val="0"/>
          <w:numId w:val="1010"/>
        </w:numPr>
        <w:pStyle w:val="Compact"/>
      </w:pPr>
      <w:r>
        <w:rPr>
          <w:bCs/>
          <w:b/>
        </w:rPr>
        <w:t xml:space="preserve">Multi-round boundaries</w:t>
      </w:r>
      <w:r>
        <w:t xml:space="preserve"> </w:t>
      </w:r>
      <w:r>
        <w:t xml:space="preserve">— Extend to sequential authorization checks with persistent state.</w:t>
      </w:r>
    </w:p>
    <w:p>
      <w:pPr>
        <w:numPr>
          <w:ilvl w:val="0"/>
          <w:numId w:val="1010"/>
        </w:numPr>
        <w:pStyle w:val="Compact"/>
      </w:pPr>
      <w:r>
        <w:rPr>
          <w:bCs/>
          <w:b/>
        </w:rPr>
        <w:t xml:space="preserve">Error mitigation stacking</w:t>
      </w:r>
      <w:r>
        <w:t xml:space="preserve"> </w:t>
      </w:r>
      <w:r>
        <w:t xml:space="preserve">— Combine Pauli twirling + DD + readout error mitigation.</w:t>
      </w:r>
    </w:p>
    <w:p>
      <w:r>
        <w:pict>
          <v:rect style="width:0;height:1.5pt" o:hralign="center" o:hrstd="t" o:hr="t"/>
        </w:pict>
      </w:r>
    </w:p>
    <w:p>
      <w:pPr>
        <w:pStyle w:val="FirstParagraph"/>
      </w:pPr>
      <w:r>
        <w:rPr>
          <w:bCs/>
          <w:b/>
        </w:rPr>
        <w:t xml:space="preserve">ARK-447 demonstrates that Pauli twirling provides marginal but measurable improvement in authorization boundary fidelity on IBM Quantum hardware. The experiment achieves PASS (strong) verdict with both configurations passing all criteria and Pauli twirling showing slight advantage.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2026-07-17T02:53:31Z</dcterms:created>
  <dcterms:modified xsi:type="dcterms:W3CDTF">2026-07-17T02:53:31Z</dcterms:modified>
</cp:coreProperties>
</file>

<file path=docProps/custom.xml><?xml version="1.0" encoding="utf-8"?>
<Properties xmlns="http://schemas.openxmlformats.org/officeDocument/2006/custom-properties" xmlns:vt="http://schemas.openxmlformats.org/officeDocument/2006/docPropsVTypes"/>
</file>