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b2fe80412902a5a7f58f814114e25b929cfd13"/>
    <w:p>
      <w:pPr>
        <w:pStyle w:val="Heading1"/>
      </w:pPr>
      <w:r>
        <w:t xml:space="preserve">ARK-493 → ARK-498 Series — Reconciliation Report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ARK-493 through ARK-498</w:t>
      </w:r>
      <w:r>
        <w:t xml:space="preserve"> </w:t>
      </w:r>
      <w:r>
        <w:rPr>
          <w:bCs/>
          <w:b/>
        </w:rPr>
        <w:t xml:space="preserve">Preregistration:</w:t>
      </w:r>
      <w:r>
        <w:t xml:space="preserve"> </w:t>
      </w:r>
      <w:r>
        <w:rPr>
          <w:rStyle w:val="VerbatimChar"/>
        </w:rPr>
        <w:t xml:space="preserve">ARK-493-498-PREREGISTRATION-v1.1.md</w:t>
      </w:r>
      <w:r>
        <w:t xml:space="preserve"> </w:t>
      </w:r>
      <w:r>
        <w:rPr>
          <w:bCs/>
          <w:b/>
        </w:rPr>
        <w:t xml:space="preserve">Preregistration SHA-256:</w:t>
      </w:r>
      <w:r>
        <w:t xml:space="preserve"> </w:t>
      </w:r>
      <w:r>
        <w:rPr>
          <w:rStyle w:val="VerbatimChar"/>
        </w:rPr>
        <w:t xml:space="preserve">464b9fb8be9d6cca052f236dc9deec9f8e89b781cafc58701e79b2d05d52952a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verified match at execution time</w:t>
      </w:r>
      <w:r>
        <w:t xml:space="preserve"> </w:t>
      </w:r>
      <w:r>
        <w:rPr>
          <w:bCs/>
          <w:b/>
        </w:rPr>
        <w:t xml:space="preserve">Execution: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python3 run_all.py</w:t>
      </w:r>
      <w:r>
        <w:t xml:space="preserve"> </w:t>
      </w:r>
      <w:r>
        <w:t xml:space="preserve">run, one shared hash-chained ProofRecord store</w:t>
      </w:r>
      <w:r>
        <w:t xml:space="preserve"> </w:t>
      </w:r>
      <w:r>
        <w:rPr>
          <w:bCs/>
          <w:b/>
        </w:rPr>
        <w:t xml:space="preserve">GATE-STOP triggered:</w:t>
      </w:r>
      <w:r>
        <w:t xml:space="preserve"> </w:t>
      </w:r>
      <w:r>
        <w:t xml:space="preserve">No (</w:t>
      </w:r>
      <w:r>
        <w:rPr>
          <w:rStyle w:val="VerbatimChar"/>
        </w:rPr>
        <w:t xml:space="preserve">halted_by_gate_stop = false</w:t>
      </w:r>
      <w:r>
        <w:t xml:space="preserve">)</w:t>
      </w:r>
    </w:p>
    <w:p>
      <w:pPr>
        <w:pStyle w:val="BlockText"/>
      </w:pPr>
      <w:r>
        <w:t xml:space="preserve">This report reconciles what this series added to the standing ExecutionProof evidence corpus. Every number below is traceable to a file produced by this run (</w:t>
      </w:r>
      <w:r>
        <w:rPr>
          <w:rStyle w:val="VerbatimChar"/>
        </w:rPr>
        <w:t xml:space="preserve">results/results_ledger.jsonl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proofrecords/proofrecord_chain.jsonl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ledgers/T*.jsonl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results/execution_manifest.json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results/ark498_metrics.json</w:t>
      </w:r>
      <w:r>
        <w:t xml:space="preserve">). No number is estimated.</w:t>
      </w:r>
    </w:p>
    <w:p>
      <w:r>
        <w:pict>
          <v:rect style="width:0;height:1.5pt" o:hralign="center" o:hrstd="t" o:hr="t"/>
        </w:pict>
      </w:r>
    </w:p>
    <w:bookmarkStart w:id="22" w:name="this-series-results-measured"/>
    <w:p>
      <w:pPr>
        <w:pStyle w:val="Heading2"/>
      </w:pPr>
      <w:r>
        <w:t xml:space="preserve">1. This-series results (measured)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43"/>
        <w:gridCol w:w="1046"/>
        <w:gridCol w:w="1494"/>
        <w:gridCol w:w="1942"/>
        <w:gridCol w:w="896"/>
        <w:gridCol w:w="8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Experiment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Scored cases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Enforcement Boundary Under Adversarial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Semantic Boundary — Deep Argument Mutation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Boundary — Authority Change Mid-Flight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Multi-Agent Delegation &amp; Self-Approval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Independently Reconstructable ProofRecord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Networked Production-Like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EXPERIMENT-PASS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 / 6 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Scored cases this series: 161</w:t>
      </w:r>
      <w:r>
        <w:t xml:space="preserve"> </w:t>
      </w:r>
      <w:r>
        <w:t xml:space="preserve">(preregistration minimum was 152, excluding ARK-498 per-request performance traffic). Met.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Dual-guard agreement: 161 / 161</w:t>
      </w:r>
      <w:r>
        <w:t xml:space="preserve"> </w:t>
      </w:r>
      <w:r>
        <w:t xml:space="preserve">scored cases (Guard-A in-process + Guard-B isolated subprocess agree on every record).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Enforcement leaks: 0.</w:t>
      </w:r>
      <w:r>
        <w:t xml:space="preserve"> </w:t>
      </w:r>
      <w:r>
        <w:t xml:space="preserve">No DENY or HOLD case produced an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 </w:t>
      </w:r>
      <w:r>
        <w:t xml:space="preserve">side-effect ledger entry in any tool ledger. The GATE-STOP rule (D-5) was therefore not triggered.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Failures preserved:</w:t>
      </w:r>
      <w:r>
        <w:t xml:space="preserve"> </w:t>
      </w:r>
      <w:r>
        <w:t xml:space="preserve">there were 0 failures to preserve this series; had any occurred, they would remain in the ledger with</w:t>
      </w:r>
      <w:r>
        <w:t xml:space="preserve"> </w:t>
      </w:r>
      <w:r>
        <w:rPr>
          <w:rStyle w:val="VerbatimChar"/>
        </w:rPr>
        <w:t xml:space="preserve">failure_root_cause</w:t>
      </w:r>
      <w:r>
        <w:t xml:space="preserve"> </w:t>
      </w:r>
      <w:r>
        <w:t xml:space="preserve">and would not have been retried.</w:t>
      </w:r>
    </w:p>
    <w:bookmarkStart w:id="20" w:name="Xab011badc749dee8d2a6524405c1d0d4a4aaeea"/>
    <w:p>
      <w:pPr>
        <w:pStyle w:val="Heading3"/>
      </w:pPr>
      <w:r>
        <w:t xml:space="preserve">ARK-493 boundary matrix (the gate-stop gate)</w:t>
      </w:r>
    </w:p>
    <w:p>
      <w:pPr>
        <w:numPr>
          <w:ilvl w:val="0"/>
          <w:numId w:val="1002"/>
        </w:numPr>
        <w:pStyle w:val="Compact"/>
      </w:pPr>
      <w:r>
        <w:t xml:space="preserve">6 execution paths × 15 cells =</w:t>
      </w:r>
      <w:r>
        <w:t xml:space="preserve"> </w:t>
      </w:r>
      <w:r>
        <w:rPr>
          <w:bCs/>
          <w:b/>
        </w:rPr>
        <w:t xml:space="preserve">90 cases</w:t>
      </w:r>
      <w:r>
        <w:t xml:space="preserve">: P1-direct-call, P2-retry, P3-alternate-endpoint, P4-queued-execution, P5-tool-alias, P6-agent-created-subcall (15 each).</w:t>
      </w:r>
    </w:p>
    <w:p>
      <w:pPr>
        <w:numPr>
          <w:ilvl w:val="0"/>
          <w:numId w:val="1002"/>
        </w:numPr>
        <w:pStyle w:val="Compact"/>
      </w:pPr>
      <w:r>
        <w:t xml:space="preserve">Decision distribution:</w:t>
      </w:r>
      <w:r>
        <w:t xml:space="preserve"> </w:t>
      </w:r>
      <w:r>
        <w:rPr>
          <w:bCs/>
          <w:b/>
        </w:rPr>
        <w:t xml:space="preserve">30 ALLOW / 30 DENY / 30 HOLD.</w:t>
      </w:r>
    </w:p>
    <w:p>
      <w:pPr>
        <w:numPr>
          <w:ilvl w:val="0"/>
          <w:numId w:val="1002"/>
        </w:numPr>
        <w:pStyle w:val="Compact"/>
      </w:pPr>
      <w:r>
        <w:t xml:space="preserve">All 30 ALLOW cases executed</w:t>
      </w:r>
      <w:r>
        <w:t xml:space="preserve"> </w:t>
      </w:r>
      <w:r>
        <w:rPr>
          <w:bCs/>
          <w:b/>
        </w:rPr>
        <w:t xml:space="preserve">exactly once</w:t>
      </w:r>
      <w:r>
        <w:t xml:space="preserve"> </w:t>
      </w:r>
      <w:r>
        <w:t xml:space="preserve">(idempotency held across retry/queued/alias paths). All 60 DENY/HOLD cases executed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times.</w:t>
      </w:r>
      <w:r>
        <w:t xml:space="preserve"> </w:t>
      </w:r>
      <w:r>
        <w:rPr>
          <w:bCs/>
          <w:b/>
        </w:rPr>
        <w:t xml:space="preserve">Leak rows: 0.</w:t>
      </w:r>
    </w:p>
    <w:bookmarkEnd w:id="20"/>
    <w:bookmarkStart w:id="21" w:name="Xa8c1c0fa2648f8e65dec8f29f60cd0a01ade7f3"/>
    <w:p>
      <w:pPr>
        <w:pStyle w:val="Heading3"/>
      </w:pPr>
      <w:r>
        <w:t xml:space="preserve">Side-effect ledger totals (all scenarios, this run)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Invocation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blocked (DENY)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held (HOLD)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p>
      <w:pPr>
        <w:pStyle w:val="BodyText"/>
      </w:pPr>
      <w:r>
        <w:t xml:space="preserve">(The large</w:t>
      </w:r>
      <w:r>
        <w:t xml:space="preserve"> </w:t>
      </w:r>
      <w:r>
        <w:rPr>
          <w:rStyle w:val="VerbatimChar"/>
        </w:rPr>
        <w:t xml:space="preserve">executed</w:t>
      </w:r>
      <w:r>
        <w:t xml:space="preserve"> </w:t>
      </w:r>
      <w:r>
        <w:t xml:space="preserve">count is dominated by ARK-498’s ~1,000 sustained-throughput ALLOW requests against T3; these are performance traffic, not scored cases.)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corpus-reconciliation"/>
    <w:p>
      <w:pPr>
        <w:pStyle w:val="Heading2"/>
      </w:pPr>
      <w:r>
        <w:t xml:space="preserve">2. Corpus reconciliation</w:t>
      </w:r>
    </w:p>
    <w:bookmarkStart w:id="23" w:name="Xb096943ff5aea23abd163baa0ad1d262cd3e7f9"/>
    <w:p>
      <w:pPr>
        <w:pStyle w:val="Heading3"/>
      </w:pPr>
      <w:r>
        <w:t xml:space="preserve">2.1 Pre-series baseline (as carried into this series)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bookmarkEnd w:id="23"/>
    <w:bookmarkStart w:id="24" w:name="this-series-adds"/>
    <w:p>
      <w:pPr>
        <w:pStyle w:val="Heading3"/>
      </w:pPr>
      <w:r>
        <w:t xml:space="preserve">2.2 This series adds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 (ARK-493, -494, -495, -496, -497, -498)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Scored case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 (added to the existing</w:t>
            </w:r>
            <w:r>
              <w:t xml:space="preserve"> </w:t>
            </w:r>
            <w:r>
              <w:rPr>
                <w:rStyle w:val="VerbatimChar"/>
              </w:rPr>
              <w:t xml:space="preserve">executionproof-testbeds</w:t>
            </w:r>
            <w:r>
              <w:t xml:space="preserve"> </w:t>
            </w:r>
            <w:r>
              <w:t xml:space="preserve">repository as the</w:t>
            </w:r>
            <w:r>
              <w:t xml:space="preserve"> </w:t>
            </w:r>
            <w:r>
              <w:rPr>
                <w:rStyle w:val="VerbatimChar"/>
              </w:rPr>
              <w:t xml:space="preserve">ark-493-498/</w:t>
            </w:r>
            <w:r>
              <w:t xml:space="preserve"> </w:t>
            </w:r>
            <w:r>
              <w:t xml:space="preserve">subdirectory — no new repository created)</w:t>
            </w:r>
          </w:p>
        </w:tc>
      </w:tr>
    </w:tbl>
    <w:bookmarkEnd w:id="24"/>
    <w:bookmarkStart w:id="25" w:name="projected-post-series-totals"/>
    <w:p>
      <w:pPr>
        <w:pStyle w:val="Heading3"/>
      </w:pPr>
      <w:r>
        <w:t xml:space="preserve">2.3 Projected post-series totals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This series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Post-series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Experiment 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Reconciled public headline numbers to use going forward: 72 experiments, 232 case records, 229 PASS, 2 FAIL, 1 GATE-STOP across 9 repositories.</w:t>
      </w:r>
    </w:p>
    <w:p>
      <w:pPr>
        <w:pStyle w:val="BlockText"/>
      </w:pPr>
      <w:r>
        <w:t xml:space="preserve">The 2 pre-existing FAIL records and the 1 pre-existing GATE-STOP record are</w:t>
      </w:r>
      <w:r>
        <w:t xml:space="preserve"> </w:t>
      </w:r>
      <w:r>
        <w:rPr>
          <w:bCs/>
          <w:b/>
        </w:rPr>
        <w:t xml:space="preserve">retained unchanged</w:t>
      </w:r>
      <w:r>
        <w:t xml:space="preserve">. Honest framing requires that the historical FAIL/GATE-STOP entries continue to be reported; they are evidence the methodology preserves negative results rather than suppressing them.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f7f848fa8f899e8667485db01f752e6d319df5"/>
    <w:p>
      <w:pPr>
        <w:pStyle w:val="Heading2"/>
      </w:pPr>
      <w:r>
        <w:t xml:space="preserve">3. ARK-498 characterization (summary; full detail in</w:t>
      </w:r>
      <w:r>
        <w:t xml:space="preserve"> </w:t>
      </w:r>
      <w:r>
        <w:rPr>
          <w:rStyle w:val="VerbatimChar"/>
        </w:rPr>
        <w:t xml:space="preserve">ark498_performance_report.md</w:t>
      </w:r>
      <w:r>
        <w:t xml:space="preserve">)</w:t>
      </w:r>
    </w:p>
    <w:p>
      <w:pPr>
        <w:pStyle w:val="BlockText"/>
      </w:pPr>
      <w:r>
        <w:rPr>
          <w:bCs/>
          <w:b/>
        </w:rPr>
        <w:t xml:space="preserve">PRODUCTION-LIKE OVERHEAD CHARACTERIZATION · NOT A BENCHMARK CERTIFICATION · NOT A PRODUCTION SLA</w:t>
      </w:r>
    </w:p>
    <w:p>
      <w:pPr>
        <w:pStyle w:val="FirstParagraph"/>
      </w:pPr>
      <w:r>
        <w:t xml:space="preserve">ARK-498 ran the gate behind a real Flask HTTP/loopback-TCP boundary across 9 scenarios (~1,810 requests) with simulated dependency latencies (policy lookup 50 ms, authority lookup 30 ms, real ProofRecord disk I/O).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Latency (measured,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time.monotonic()</w:t>
      </w:r>
      <w:r>
        <w:rPr>
          <w:bCs/>
          <w:b/>
        </w:rPr>
        <w:t xml:space="preserve">):</w:t>
      </w:r>
      <w:r>
        <w:t xml:space="preserve"> </w:t>
      </w:r>
      <w:r>
        <w:t xml:space="preserve">cold start ≈ 85.2 ms; warm p50 ≈ 83.9 ms; under 10 concurrent clients p50 ≈ 84.4 ms / p95 ≈ 88.0 ms / p99 ≈ 93.9 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Sustained throughput (middle 60% of a 1,000-request run, 5 clients):</w:t>
      </w:r>
      <w:r>
        <w:t xml:space="preserve"> </w:t>
      </w:r>
      <w:r>
        <w:t xml:space="preserve">≈ 59.7 req/s. This figure is dominated by the injected 80 ms of simulated dependency sleeps per request and is</w:t>
      </w:r>
      <w:r>
        <w:t xml:space="preserve"> </w:t>
      </w:r>
      <w:r>
        <w:rPr>
          <w:bCs/>
          <w:b/>
        </w:rPr>
        <w:t xml:space="preserve">characterization data only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All six hard criteria met:</w:t>
      </w:r>
      <w:r>
        <w:t xml:space="preserve"> </w:t>
      </w:r>
      <w:r>
        <w:t xml:space="preserve">fail-closed leak count = 0 (S005/S006/S007); duplicate executions = 0 (S009); ProofRecord completeness = 100% (1,766/1,766); error accounting = 0 ALLOW-on-error; recovery with 0 auto re-executions of denied requests (S008); Guard-B signature verification = 100% (1,766/1,766).</w:t>
      </w:r>
    </w:p>
    <w:p>
      <w:pPr>
        <w:pStyle w:val="FirstParagraph"/>
      </w:pPr>
      <w:r>
        <w:t xml:space="preserve">These latency/throughput numbers</w:t>
      </w:r>
      <w:r>
        <w:t xml:space="preserve"> </w:t>
      </w:r>
      <w:r>
        <w:rPr>
          <w:bCs/>
          <w:b/>
        </w:rPr>
        <w:t xml:space="preserve">must not</w:t>
      </w:r>
      <w:r>
        <w:t xml:space="preserve"> </w:t>
      </w:r>
      <w:r>
        <w:t xml:space="preserve">be compared to the prior microsecond in-process testbed (ARK-483–492): different architecture, different scope. They are not a production SLA and require independent measurement under production conditions before any performance claim.</w:t>
      </w:r>
    </w:p>
    <w:p>
      <w:r>
        <w:pict>
          <v:rect style="width:0;height:1.5pt" o:hralign="center" o:hrstd="t" o:hr="t"/>
        </w:pict>
      </w:r>
    </w:p>
    <w:bookmarkEnd w:id="27"/>
    <w:bookmarkStart w:id="28" w:name="artifacts-backing-this-report"/>
    <w:p>
      <w:pPr>
        <w:pStyle w:val="Heading2"/>
      </w:pPr>
      <w:r>
        <w:t xml:space="preserve">4. Artifacts backing this report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95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 ledger (161 scored rows)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results/results_ledger.jsonl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Hash-chained ProofRecords (1,894 records incl. summaries)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proofrecords/proofrecord_chain.jsonl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Side-effect ledgers T1–T5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ledgers/T1_*.jsonl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ledgers/T5_*.jsonl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Execution manifest (prereg hash + per-experiment decisions)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results/execution_manifest.json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ARK-498 raw metrics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results/ark498_metrics.json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ARK-497 isolated-verifier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results/ark497_verifier_output.json</w:t>
            </w:r>
          </w:p>
        </w:tc>
      </w:tr>
    </w:tbl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2026-07-20T18:19:48Z</dcterms:created>
  <dcterms:modified xsi:type="dcterms:W3CDTF">2026-07-20T18:19:48Z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