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8bd71e0093a469ee64a1d301397f4373a7ba0a6"/>
    <w:p>
      <w:pPr>
        <w:pStyle w:val="Heading1"/>
      </w:pPr>
      <w:r>
        <w:t xml:space="preserve">ARK-457 — Cross-Context Authorization Replay (Confused Deputy)</w:t>
      </w:r>
    </w:p>
    <w:bookmarkStart w:id="20" w:name="X68c21f48bb86864d353ba1e46171b4392a63177"/>
    <w:p>
      <w:pPr>
        <w:pStyle w:val="Heading2"/>
      </w:pPr>
      <w:r>
        <w:t xml:space="preserve">PREREGISTRATION (committed before execution)</w:t>
      </w:r>
    </w:p>
    <w:p>
      <w:pPr>
        <w:pStyle w:val="FirstParagraph"/>
      </w:pPr>
      <w:r>
        <w:rPr>
          <w:bCs/>
          <w:b/>
        </w:rPr>
        <w:t xml:space="preserve">Experiment ID:</w:t>
      </w:r>
      <w:r>
        <w:t xml:space="preserve"> </w:t>
      </w:r>
      <w:r>
        <w:t xml:space="preserve">ARK-457</w:t>
      </w:r>
      <w:r>
        <w:t xml:space="preserve"> </w:t>
      </w:r>
      <w:r>
        <w:rPr>
          <w:bCs/>
          <w:b/>
        </w:rPr>
        <w:t xml:space="preserve">Series:</w:t>
      </w:r>
      <w:r>
        <w:t xml:space="preserve"> </w:t>
      </w:r>
      <w:r>
        <w:t xml:space="preserve">ExecutionProof authorization-boundary corpus (enterprise-failure-mode phase)</w:t>
      </w:r>
      <w:r>
        <w:t xml:space="preserve"> </w:t>
      </w:r>
      <w:r>
        <w:rPr>
          <w:bCs/>
          <w:b/>
        </w:rPr>
        <w:t xml:space="preserve">Substrate:</w:t>
      </w:r>
      <w:r>
        <w:t xml:space="preserve"> </w:t>
      </w:r>
      <w:r>
        <w:t xml:space="preserve">Classical software (no quantum hardware, no cryptography)</w:t>
      </w:r>
      <w:r>
        <w:t xml:space="preserve"> </w:t>
      </w:r>
      <w:r>
        <w:rPr>
          <w:bCs/>
          <w:b/>
        </w:rPr>
        <w:t xml:space="preserve">Question:</w:t>
      </w:r>
      <w:r>
        <w:t xml:space="preserve"> </w:t>
      </w:r>
      <w:r>
        <w:t xml:space="preserve">When an authorization is issued bound to a specific context (tenant, session, resource, audience, environment), can it be</w:t>
      </w:r>
      <w:r>
        <w:t xml:space="preserve"> </w:t>
      </w:r>
      <w:r>
        <w:rPr>
          <w:iCs/>
          <w:i/>
        </w:rPr>
        <w:t xml:space="preserve">replayed</w:t>
      </w:r>
      <w:r>
        <w:t xml:space="preserve"> </w:t>
      </w:r>
      <w:r>
        <w:t xml:space="preserve">to authorize an execution under a</w:t>
      </w:r>
      <w:r>
        <w:t xml:space="preserve"> </w:t>
      </w:r>
      <w:r>
        <w:rPr>
          <w:bCs/>
          <w:b/>
        </w:rPr>
        <w:t xml:space="preserve">different</w:t>
      </w:r>
      <w:r>
        <w:t xml:space="preserve"> </w:t>
      </w:r>
      <w:r>
        <w:t xml:space="preserve">context? A correct guard must ALLOW execution only when the execution context matches the authorization’s bound context</w:t>
      </w:r>
      <w:r>
        <w:t xml:space="preserve"> </w:t>
      </w:r>
      <w:r>
        <w:rPr>
          <w:bCs/>
          <w:b/>
        </w:rPr>
        <w:t xml:space="preserve">exactly</w:t>
      </w:r>
      <w:r>
        <w:t xml:space="preserve"> </w:t>
      </w:r>
      <w:r>
        <w:t xml:space="preserve">on every binding dimension, and DENY otherwise — including superficial</w:t>
      </w:r>
      <w:r>
        <w:t xml:space="preserve"> </w:t>
      </w:r>
      <w:r>
        <w:t xml:space="preserve">“</w:t>
      </w:r>
      <w:r>
        <w:t xml:space="preserve">confusable</w:t>
      </w:r>
      <w:r>
        <w:t xml:space="preserve">”</w:t>
      </w:r>
      <w:r>
        <w:t xml:space="preserve"> </w:t>
      </w:r>
      <w:r>
        <w:t xml:space="preserve">near-matches.</w:t>
      </w:r>
    </w:p>
    <w:p>
      <w:r>
        <w:pict>
          <v:rect style="width:0;height:1.5pt" o:hralign="center" o:hrstd="t" o:hr="t"/>
        </w:pict>
      </w:r>
    </w:p>
    <w:bookmarkEnd w:id="20"/>
    <w:bookmarkStart w:id="21" w:name="motivation"/>
    <w:p>
      <w:pPr>
        <w:pStyle w:val="Heading2"/>
      </w:pPr>
      <w:r>
        <w:t xml:space="preserve">1. Motivation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confused deputy</w:t>
      </w:r>
      <w:r>
        <w:t xml:space="preserve"> </w:t>
      </w:r>
      <w:r>
        <w:t xml:space="preserve">problem is one of the oldest and most damaging authorization failure modes: a privileged component is tricked into misusing an authorization that was legitimately issued for a</w:t>
      </w:r>
      <w:r>
        <w:t xml:space="preserve"> </w:t>
      </w:r>
      <w:r>
        <w:rPr>
          <w:iCs/>
          <w:i/>
        </w:rPr>
        <w:t xml:space="preserve">different</w:t>
      </w:r>
      <w:r>
        <w:t xml:space="preserve"> </w:t>
      </w:r>
      <w:r>
        <w:t xml:space="preserve">context. In modern agent and enterprise systems this shows up as: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Cross-tenant replay</w:t>
      </w:r>
      <w:r>
        <w:t xml:space="preserve"> </w:t>
      </w:r>
      <w:r>
        <w:t xml:space="preserve">— an authorization minted for tenant A is presented against tenant B’s resources (multi-tenant isolation break).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Cross-session replay</w:t>
      </w:r>
      <w:r>
        <w:t xml:space="preserve"> </w:t>
      </w:r>
      <w:r>
        <w:t xml:space="preserve">— a token/authorization from one session is reused in another (session fixation / token export).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Cross-resource replay</w:t>
      </w:r>
      <w:r>
        <w:t xml:space="preserve"> </w:t>
      </w:r>
      <w:r>
        <w:t xml:space="preserve">— approval for wallet/resource X is redirected to resource 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Cross-audience replay</w:t>
      </w:r>
      <w:r>
        <w:t xml:space="preserve"> </w:t>
      </w:r>
      <w:r>
        <w:t xml:space="preserve">— an authorization scoped to</w:t>
      </w:r>
      <w:r>
        <w:t xml:space="preserve"> </w:t>
      </w:r>
      <w:r>
        <w:rPr>
          <w:rStyle w:val="VerbatimChar"/>
        </w:rPr>
        <w:t xml:space="preserve">api.reporting</w:t>
      </w:r>
      <w:r>
        <w:t xml:space="preserve"> </w:t>
      </w:r>
      <w:r>
        <w:t xml:space="preserve">is presented to</w:t>
      </w:r>
      <w:r>
        <w:t xml:space="preserve"> </w:t>
      </w:r>
      <w:r>
        <w:rPr>
          <w:rStyle w:val="VerbatimChar"/>
        </w:rPr>
        <w:t xml:space="preserve">api.payments</w:t>
      </w:r>
      <w:r>
        <w:t xml:space="preserve"> </w:t>
      </w:r>
      <w:r>
        <w:t xml:space="preserve">(audience confusion / scope creep).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Cross-environment replay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/</w:t>
      </w:r>
      <w:r>
        <w:rPr>
          <w:rStyle w:val="VerbatimChar"/>
        </w:rPr>
        <w:t xml:space="preserve">sandbox</w:t>
      </w:r>
      <w:r>
        <w:t xml:space="preserve"> </w:t>
      </w:r>
      <w:r>
        <w:t xml:space="preserve">authorization is replayed against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.</w:t>
      </w:r>
    </w:p>
    <w:p>
      <w:pPr>
        <w:pStyle w:val="FirstParagraph"/>
      </w:pPr>
      <w:r>
        <w:t xml:space="preserve">The common defect is a guard that checks</w:t>
      </w:r>
      <w:r>
        <w:t xml:space="preserve"> </w:t>
      </w:r>
      <w:r>
        <w:rPr>
          <w:iCs/>
          <w:i/>
        </w:rPr>
        <w:t xml:space="preserve">that</w:t>
      </w:r>
      <w:r>
        <w:t xml:space="preserve"> </w:t>
      </w:r>
      <w:r>
        <w:t xml:space="preserve">an authorization exists and is valid, but not</w:t>
      </w:r>
      <w:r>
        <w:t xml:space="preserve"> </w:t>
      </w:r>
      <w:r>
        <w:rPr>
          <w:iCs/>
          <w:i/>
        </w:rPr>
        <w:t xml:space="preserve">that the execution context is the one the authorization was bound to</w:t>
      </w:r>
      <w:r>
        <w:t xml:space="preserve">. A frequent aggravating factor is</w:t>
      </w:r>
      <w:r>
        <w:t xml:space="preserve"> </w:t>
      </w:r>
      <w:r>
        <w:rPr>
          <w:bCs/>
          <w:b/>
        </w:rPr>
        <w:t xml:space="preserve">lenient comparison</w:t>
      </w:r>
      <w:r>
        <w:t xml:space="preserve"> </w:t>
      </w:r>
      <w:r>
        <w:t xml:space="preserve">— a comparator that normalizes case, trims whitespace, ignores zero-width characters, or maps homoglyphs, thereby treating a genuinely different context string as</w:t>
      </w:r>
      <w:r>
        <w:t xml:space="preserve"> </w:t>
      </w:r>
      <w:r>
        <w:t xml:space="preserve">“</w:t>
      </w:r>
      <w:r>
        <w:t xml:space="preserve">the same.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This experiment tests:</w:t>
      </w:r>
      <w:r>
        <w:t xml:space="preserve"> </w:t>
      </w:r>
      <w:r>
        <w:t xml:space="preserve">Does the guard bind an authorization to its issuing context and refuse to let it transfer to any other context — using strict, exact comparison that is not fooled by confusable near-matches?</w:t>
      </w:r>
    </w:p>
    <w:p>
      <w:r>
        <w:pict>
          <v:rect style="width:0;height:1.5pt" o:hralign="center" o:hrstd="t" o:hr="t"/>
        </w:pict>
      </w:r>
    </w:p>
    <w:bookmarkEnd w:id="21"/>
    <w:bookmarkStart w:id="26" w:name="design"/>
    <w:p>
      <w:pPr>
        <w:pStyle w:val="Heading2"/>
      </w:pPr>
      <w:r>
        <w:t xml:space="preserve">2. Design</w:t>
      </w:r>
    </w:p>
    <w:bookmarkStart w:id="22" w:name="structure"/>
    <w:p>
      <w:pPr>
        <w:pStyle w:val="Heading3"/>
      </w:pPr>
      <w:r>
        <w:t xml:space="preserve">Structure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8 arms</w:t>
      </w:r>
      <w:r>
        <w:t xml:space="preserve"> </w:t>
      </w:r>
      <w:r>
        <w:t xml:space="preserve">× 100 scenarios per arm =</w:t>
      </w:r>
      <w:r>
        <w:t xml:space="preserve"> </w:t>
      </w:r>
      <w:r>
        <w:rPr>
          <w:bCs/>
          <w:b/>
        </w:rPr>
        <w:t xml:space="preserve">800 evaluation decisions</w:t>
      </w:r>
    </w:p>
    <w:p>
      <w:pPr>
        <w:numPr>
          <w:ilvl w:val="0"/>
          <w:numId w:val="1002"/>
        </w:numPr>
        <w:pStyle w:val="Compact"/>
      </w:pPr>
      <w:r>
        <w:t xml:space="preserve">Each arm represents a specific context relationship between authorization and execution</w:t>
      </w:r>
    </w:p>
    <w:p>
      <w:pPr>
        <w:numPr>
          <w:ilvl w:val="0"/>
          <w:numId w:val="1002"/>
        </w:numPr>
        <w:pStyle w:val="Compact"/>
      </w:pPr>
      <w:r>
        <w:t xml:space="preserve">Dual independent guards (V1 JavaScript, V2 Python) evaluate each scenario</w:t>
      </w:r>
    </w:p>
    <w:bookmarkEnd w:id="22"/>
    <w:bookmarkStart w:id="23" w:name="context-tuple-binding-dimensions"/>
    <w:p>
      <w:pPr>
        <w:pStyle w:val="Heading3"/>
      </w:pPr>
      <w:r>
        <w:t xml:space="preserve">Context Tuple (Binding Dimensions)</w:t>
      </w:r>
    </w:p>
    <w:p>
      <w:pPr>
        <w:pStyle w:val="FirstParagraph"/>
      </w:pPr>
      <w:r>
        <w:t xml:space="preserve">Every authorization is bound to a 5-dimension context tuple. Execution presents its own tuple.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1440"/>
        <w:gridCol w:w="38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Isolation boundary / customer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tenant-0007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/ token scope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sess-0002af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Governed object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wallet-0031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Intended API/service scope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api.payments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api.reporting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 stage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staging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sandbox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dr-failover</w:t>
            </w:r>
          </w:p>
        </w:tc>
      </w:tr>
    </w:tbl>
    <w:bookmarkEnd w:id="23"/>
    <w:bookmarkStart w:id="24" w:name="authorization-execution"/>
    <w:p>
      <w:pPr>
        <w:pStyle w:val="Heading3"/>
      </w:pPr>
      <w:r>
        <w:t xml:space="preserve">Authorization + Execution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"authorization"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"transfer"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"delegate"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"agent-X"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"binding"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"tenant"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"audience"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"execution"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"tenant"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"audience"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4"/>
    <w:bookmarkStart w:id="25" w:name="decision-procedure-both-guards"/>
    <w:p>
      <w:pPr>
        <w:pStyle w:val="Heading3"/>
      </w:pPr>
      <w:r>
        <w:t xml:space="preserve">Decision Procedure (Both Guards)</w:t>
      </w:r>
    </w:p>
    <w:p>
      <w:pPr>
        <w:pStyle w:val="SourceCode"/>
      </w:pPr>
      <w:r>
        <w:rPr>
          <w:rStyle w:val="VerbatimChar"/>
        </w:rPr>
        <w:t xml:space="preserve">evaluate(authorization, execution):</w:t>
      </w:r>
      <w:r>
        <w:br/>
      </w:r>
      <w:r>
        <w:rPr>
          <w:rStyle w:val="VerbatimChar"/>
        </w:rPr>
        <w:t xml:space="preserve">  for dim in [tenant, session, resource, audience, environment]:</w:t>
      </w:r>
      <w:r>
        <w:br/>
      </w:r>
      <w:r>
        <w:rPr>
          <w:rStyle w:val="VerbatimChar"/>
        </w:rPr>
        <w:t xml:space="preserve">     a = authorization.binding[dim]</w:t>
      </w:r>
      <w:r>
        <w:br/>
      </w:r>
      <w:r>
        <w:rPr>
          <w:rStyle w:val="VerbatimChar"/>
        </w:rPr>
        <w:t xml:space="preserve">     b = execution.context[dim]</w:t>
      </w:r>
      <w:r>
        <w:br/>
      </w:r>
      <w:r>
        <w:rPr>
          <w:rStyle w:val="VerbatimChar"/>
        </w:rPr>
        <w:t xml:space="preserve">     if a and b are not both strings, OR a != b   # byte/code-point EXACT equality</w:t>
      </w:r>
      <w:r>
        <w:br/>
      </w:r>
      <w:r>
        <w:rPr>
          <w:rStyle w:val="VerbatimChar"/>
        </w:rPr>
        <w:t xml:space="preserve">        → return DENY   (authorization does not transfer across contexts)</w:t>
      </w:r>
      <w:r>
        <w:br/>
      </w:r>
      <w:r>
        <w:rPr>
          <w:rStyle w:val="VerbatimChar"/>
        </w:rPr>
        <w:t xml:space="preserve">  → return ALLOW        (execution context matches bound context on every dimension)</w:t>
      </w:r>
    </w:p>
    <w:p>
      <w:pPr>
        <w:pStyle w:val="FirstParagraph"/>
      </w:pPr>
      <w:r>
        <w:rPr>
          <w:bCs/>
          <w:b/>
        </w:rPr>
        <w:t xml:space="preserve">No normalization, no case folding, no whitespace trimming, no zero-width stripping, no homoglyph mapping.</w:t>
      </w:r>
      <w:r>
        <w:t xml:space="preserve"> </w:t>
      </w:r>
      <w:r>
        <w:t xml:space="preserve">A confusable near-match is a</w:t>
      </w:r>
      <w:r>
        <w:t xml:space="preserve"> </w:t>
      </w:r>
      <w:r>
        <w:rPr>
          <w:bCs/>
          <w:b/>
        </w:rPr>
        <w:t xml:space="preserve">MISMATCH → DENY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arms"/>
    <w:p>
      <w:pPr>
        <w:pStyle w:val="Heading2"/>
      </w:pPr>
      <w:r>
        <w:t xml:space="preserve">3. Arms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00"/>
        <w:gridCol w:w="2420"/>
        <w:gridCol w:w="2200"/>
        <w:gridCol w:w="22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BASELINE-exact-context-match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(all 5 dims identical)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CROSS-TENANT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</w:t>
            </w:r>
            <w:r>
              <w:t xml:space="preserve"> </w:t>
            </w:r>
            <w:r>
              <w:t xml:space="preserve">differs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CROSS-SESSION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</w:t>
            </w:r>
            <w:r>
              <w:t xml:space="preserve"> </w:t>
            </w:r>
            <w:r>
              <w:t xml:space="preserve">differs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CROSS-RESOURCE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</w:t>
            </w:r>
            <w:r>
              <w:t xml:space="preserve"> </w:t>
            </w:r>
            <w:r>
              <w:t xml:space="preserve">differs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CROSS-AUDIENCE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audience</w:t>
            </w:r>
            <w:r>
              <w:t xml:space="preserve"> </w:t>
            </w:r>
            <w:r>
              <w:t xml:space="preserve">differs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CROSS-ENVIRONMENT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environment</w:t>
            </w:r>
            <w:r>
              <w:t xml:space="preserve"> </w:t>
            </w:r>
            <w:r>
              <w:t xml:space="preserve">differs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MULTI-DIMENSION-mismatch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 dims differ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CONFUSABLE-near-match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exactly 1 dim differs by a superficial variant (trailing space, case flip, zero-width char, or homoglyph) that a lenient comparator would wrongly 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Arm 1</w:t>
      </w:r>
      <w:r>
        <w:t xml:space="preserve"> </w:t>
      </w:r>
      <w:r>
        <w:t xml:space="preserve">(baseline): exact match on all five dimensions → expected</w:t>
      </w:r>
      <w:r>
        <w:t xml:space="preserve"> </w:t>
      </w:r>
      <w:r>
        <w:rPr>
          <w:bCs/>
          <w:b/>
        </w:rPr>
        <w:t xml:space="preserve">ALLOW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Arms 2–8</w:t>
      </w:r>
      <w:r>
        <w:t xml:space="preserve">: at least one binding dimension does not match under exact equality → expected</w:t>
      </w:r>
      <w:r>
        <w:t xml:space="preserve"> </w:t>
      </w:r>
      <w:r>
        <w:rPr>
          <w:bCs/>
          <w:b/>
        </w:rPr>
        <w:t xml:space="preserve">DENY</w:t>
      </w:r>
      <w:r>
        <w:t xml:space="preserve"> </w:t>
      </w:r>
      <w:r>
        <w:t xml:space="preserve">(authorization must not replay across contexts)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Arm 8</w:t>
      </w:r>
      <w:r>
        <w:t xml:space="preserve"> </w:t>
      </w:r>
      <w:r>
        <w:t xml:space="preserve">specifically tests that the guard is not fooled by</w:t>
      </w:r>
      <w:r>
        <w:t xml:space="preserve"> </w:t>
      </w:r>
      <w:r>
        <w:rPr>
          <w:iCs/>
          <w:i/>
        </w:rPr>
        <w:t xml:space="preserve">confusable</w:t>
      </w:r>
      <w:r>
        <w:t xml:space="preserve"> </w:t>
      </w:r>
      <w:r>
        <w:t xml:space="preserve">strings: the differing value is byte-different but would collapse to the original under naive normalization.</w:t>
      </w:r>
    </w:p>
    <w:p>
      <w:r>
        <w:pict>
          <v:rect style="width:0;height:1.5pt" o:hralign="center" o:hrstd="t" o:hr="t"/>
        </w:pict>
      </w:r>
    </w:p>
    <w:bookmarkEnd w:id="27"/>
    <w:bookmarkStart w:id="28" w:name="pass-criteria-preregistered"/>
    <w:p>
      <w:pPr>
        <w:pStyle w:val="Heading2"/>
      </w:pPr>
      <w:r>
        <w:t xml:space="preserve">4. Pass Criteria (Preregistered)</w:t>
      </w:r>
    </w:p>
    <w:p>
      <w:pPr>
        <w:pStyle w:val="FirstParagraph"/>
      </w:pPr>
      <w:r>
        <w:t xml:space="preserve">Let: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g_allow_exact</w:t>
      </w:r>
      <w:r>
        <w:t xml:space="preserve"> </w:t>
      </w:r>
      <w:r>
        <w:t xml:space="preserve">= ALLOW rate in Arm 1 (exact context match)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g_deny_crosscontext_min</w:t>
      </w:r>
      <w:r>
        <w:t xml:space="preserve"> </w:t>
      </w:r>
      <w:r>
        <w:t xml:space="preserve">= minimum DENY rate across Arms 2–8 (cross-context replay)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g_margin</w:t>
      </w:r>
      <w:r>
        <w:t xml:space="preserve"> </w:t>
      </w:r>
      <w:r>
        <w:t xml:space="preserve">= min(g_allow_exact, g_deny_crosscontext_min) − 0.05</w:t>
      </w:r>
    </w:p>
    <w:p>
      <w:pPr>
        <w:pStyle w:val="BodyText"/>
      </w:pPr>
      <w:r>
        <w:rPr>
          <w:bCs/>
          <w:b/>
        </w:rPr>
        <w:t xml:space="preserve">Criteria: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C1:</w:t>
      </w:r>
      <w:r>
        <w:t xml:space="preserve"> </w:t>
      </w:r>
      <w:r>
        <w:t xml:space="preserve">g_allow_exact ≥ 0.95</w:t>
      </w:r>
      <w:r>
        <w:t xml:space="preserve"> </w:t>
      </w:r>
      <w:r>
        <w:rPr>
          <w:iCs/>
          <w:i/>
        </w:rPr>
        <w:t xml:space="preserve">(Legitimate same-context executions proceed)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C2:</w:t>
      </w:r>
      <w:r>
        <w:t xml:space="preserve"> </w:t>
      </w:r>
      <w:r>
        <w:t xml:space="preserve">g_deny_crosscontext_min ≥ 0.95</w:t>
      </w:r>
      <w:r>
        <w:t xml:space="preserve"> </w:t>
      </w:r>
      <w:r>
        <w:rPr>
          <w:iCs/>
          <w:i/>
        </w:rPr>
        <w:t xml:space="preserve">(Every cross-context replay class is refused — including confusable near-matches)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C3:</w:t>
      </w:r>
      <w:r>
        <w:t xml:space="preserve"> </w:t>
      </w:r>
      <w:r>
        <w:t xml:space="preserve">g_margin ≥ 0.90</w:t>
      </w:r>
      <w:r>
        <w:t xml:space="preserve"> </w:t>
      </w:r>
      <w:r>
        <w:rPr>
          <w:iCs/>
          <w:i/>
        </w:rPr>
        <w:t xml:space="preserve">(Strong separation between exact-allow and cross-context-deny)</w:t>
      </w:r>
    </w:p>
    <w:p>
      <w:pPr>
        <w:pStyle w:val="BodyText"/>
      </w:pPr>
      <w:r>
        <w:rPr>
          <w:bCs/>
          <w:b/>
        </w:rPr>
        <w:t xml:space="preserve">Verdict:</w:t>
      </w:r>
      <w:r>
        <w:t xml:space="preserve"> </w:t>
      </w:r>
      <w:r>
        <w:t xml:space="preserve">PASS if C1 ∧ C2 ∧ C3, else FAIL. Recorded verdict stands as executed.</w:t>
      </w:r>
    </w:p>
    <w:p>
      <w:r>
        <w:pict>
          <v:rect style="width:0;height:1.5pt" o:hralign="center" o:hrstd="t" o:hr="t"/>
        </w:pict>
      </w:r>
    </w:p>
    <w:bookmarkEnd w:id="28"/>
    <w:bookmarkStart w:id="29" w:name="context-replay-effectiveness-gate"/>
    <w:p>
      <w:pPr>
        <w:pStyle w:val="Heading2"/>
      </w:pPr>
      <w:r>
        <w:t xml:space="preserve">5. Context-Replay Effectiveness Gate</w:t>
      </w:r>
    </w:p>
    <w:p>
      <w:pPr>
        <w:pStyle w:val="FirstParagraph"/>
      </w:pPr>
      <w:r>
        <w:t xml:space="preserve">Before evaluating any arm, a</w:t>
      </w:r>
      <w:r>
        <w:t xml:space="preserve"> </w:t>
      </w:r>
      <w:r>
        <w:rPr>
          <w:bCs/>
          <w:b/>
        </w:rPr>
        <w:t xml:space="preserve">structural oracle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context_replay_effective</w:t>
      </w:r>
      <w:r>
        <w:t xml:space="preserve">) verifies that each scenario genuinely encodes its intended context relationship under</w:t>
      </w:r>
      <w:r>
        <w:t xml:space="preserve"> </w:t>
      </w:r>
      <w:r>
        <w:rPr>
          <w:bCs/>
          <w:b/>
        </w:rPr>
        <w:t xml:space="preserve">exact equality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t xml:space="preserve">Arm 1: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dimensions differ.</w:t>
      </w:r>
    </w:p>
    <w:p>
      <w:pPr>
        <w:numPr>
          <w:ilvl w:val="0"/>
          <w:numId w:val="1004"/>
        </w:numPr>
        <w:pStyle w:val="Compact"/>
      </w:pPr>
      <w:r>
        <w:t xml:space="preserve">Arms 2–6:</w:t>
      </w:r>
      <w:r>
        <w:t xml:space="preserve"> </w:t>
      </w:r>
      <w:r>
        <w:rPr>
          <w:bCs/>
          <w:b/>
        </w:rPr>
        <w:t xml:space="preserve">exactly one</w:t>
      </w:r>
      <w:r>
        <w:t xml:space="preserve"> </w:t>
      </w:r>
      <w:r>
        <w:t xml:space="preserve">specified dimension differs, all others identical.</w:t>
      </w:r>
    </w:p>
    <w:p>
      <w:pPr>
        <w:numPr>
          <w:ilvl w:val="0"/>
          <w:numId w:val="1004"/>
        </w:numPr>
        <w:pStyle w:val="Compact"/>
      </w:pPr>
      <w:r>
        <w:t xml:space="preserve">Arm 7:</w:t>
      </w:r>
      <w:r>
        <w:t xml:space="preserve"> </w:t>
      </w:r>
      <w:r>
        <w:rPr>
          <w:bCs/>
          <w:b/>
        </w:rPr>
        <w:t xml:space="preserve">≥ 2</w:t>
      </w:r>
      <w:r>
        <w:t xml:space="preserve"> </w:t>
      </w:r>
      <w:r>
        <w:t xml:space="preserve">dimensions differ.</w:t>
      </w:r>
    </w:p>
    <w:p>
      <w:pPr>
        <w:numPr>
          <w:ilvl w:val="0"/>
          <w:numId w:val="1004"/>
        </w:numPr>
        <w:pStyle w:val="Compact"/>
      </w:pPr>
      <w:r>
        <w:t xml:space="preserve">Arm 8:</w:t>
      </w:r>
      <w:r>
        <w:t xml:space="preserve"> </w:t>
      </w:r>
      <w:r>
        <w:rPr>
          <w:bCs/>
          <w:b/>
        </w:rPr>
        <w:t xml:space="preserve">exactly one</w:t>
      </w:r>
      <w:r>
        <w:t xml:space="preserve"> </w:t>
      </w:r>
      <w:r>
        <w:t xml:space="preserve">dimension differs by a genuine byte difference</w:t>
      </w:r>
      <w:r>
        <w:t xml:space="preserve"> </w:t>
      </w:r>
      <w:r>
        <w:rPr>
          <w:bCs/>
          <w:b/>
        </w:rPr>
        <w:t xml:space="preserve">that a naive normalizer would merge</w:t>
      </w:r>
      <w:r>
        <w:t xml:space="preserve"> </w:t>
      </w:r>
      <w:r>
        <w:t xml:space="preserve">(confirmed confusable).</w:t>
      </w:r>
    </w:p>
    <w:p>
      <w:pPr>
        <w:pStyle w:val="FirstParagraph"/>
      </w:pPr>
      <w:r>
        <w:t xml:space="preserve">If any scenario in an arm fails the effectiveness check, the arm is</w:t>
      </w:r>
      <w:r>
        <w:t xml:space="preserve"> </w:t>
      </w:r>
      <w:r>
        <w:rPr>
          <w:bCs/>
          <w:b/>
        </w:rPr>
        <w:t xml:space="preserve">aborted</w:t>
      </w:r>
      <w:r>
        <w:t xml:space="preserve"> </w:t>
      </w:r>
      <w:r>
        <w:t xml:space="preserve">— the experiment does not proceed with inert test cases. This gate prevents ARK-455-style no-op defects where a scenario appears to test a condition but does not actually encode it.</w:t>
      </w:r>
    </w:p>
    <w:p>
      <w:pPr>
        <w:pStyle w:val="BodyText"/>
      </w:pPr>
      <w:r>
        <w:rPr>
          <w:bCs/>
          <w:b/>
        </w:rPr>
        <w:t xml:space="preserve">Abort condition:</w:t>
      </w:r>
      <w:r>
        <w:t xml:space="preserve"> </w:t>
      </w:r>
      <w:r>
        <w:t xml:space="preserve">If any scenario in any arm is not context-replay-effective, the arm run is aborted and the experiment is stopped.</w:t>
      </w:r>
    </w:p>
    <w:p>
      <w:r>
        <w:pict>
          <v:rect style="width:0;height:1.5pt" o:hralign="center" o:hrstd="t" o:hr="t"/>
        </w:pict>
      </w:r>
    </w:p>
    <w:bookmarkEnd w:id="29"/>
    <w:bookmarkStart w:id="32" w:name="dual-independent-guards"/>
    <w:p>
      <w:pPr>
        <w:pStyle w:val="Heading2"/>
      </w:pPr>
      <w:r>
        <w:t xml:space="preserve">6. Dual Independent Guards</w:t>
      </w:r>
    </w:p>
    <w:bookmarkStart w:id="30" w:name="v1-guard-javascript-no-dependencies"/>
    <w:p>
      <w:pPr>
        <w:pStyle w:val="Heading3"/>
      </w:pPr>
      <w:r>
        <w:t xml:space="preserve">V1 Guard (JavaScript, no dependencies)</w:t>
      </w:r>
    </w:p>
    <w:p>
      <w:pPr>
        <w:numPr>
          <w:ilvl w:val="0"/>
          <w:numId w:val="1005"/>
        </w:numPr>
        <w:pStyle w:val="Compact"/>
      </w:pPr>
      <w:r>
        <w:t xml:space="preserve">Pure logic, no external libraries</w:t>
      </w:r>
    </w:p>
    <w:p>
      <w:pPr>
        <w:numPr>
          <w:ilvl w:val="0"/>
          <w:numId w:val="1005"/>
        </w:numPr>
        <w:pStyle w:val="Compact"/>
      </w:pPr>
      <w:r>
        <w:t xml:space="preserve">Compares</w:t>
      </w:r>
      <w:r>
        <w:t xml:space="preserve"> </w:t>
      </w:r>
      <w:r>
        <w:rPr>
          <w:rStyle w:val="VerbatimChar"/>
        </w:rPr>
        <w:t xml:space="preserve">execution.context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authorization.binding</w:t>
      </w:r>
      <w:r>
        <w:t xml:space="preserve"> </w:t>
      </w:r>
      <w:r>
        <w:t xml:space="preserve">with strict</w:t>
      </w:r>
      <w:r>
        <w:t xml:space="preserve"> </w:t>
      </w:r>
      <w:r>
        <w:rPr>
          <w:rStyle w:val="VerbatimChar"/>
        </w:rPr>
        <w:t xml:space="preserve">!==</w:t>
      </w:r>
      <w:r>
        <w:t xml:space="preserve"> </w:t>
      </w:r>
      <w:r>
        <w:t xml:space="preserve">equality per dimension</w:t>
      </w:r>
    </w:p>
    <w:p>
      <w:pPr>
        <w:numPr>
          <w:ilvl w:val="0"/>
          <w:numId w:val="1005"/>
        </w:numPr>
        <w:pStyle w:val="Compact"/>
      </w:pPr>
      <w:r>
        <w:t xml:space="preserve">Outputs:</w:t>
      </w:r>
      <w:r>
        <w:t xml:space="preserve"> </w:t>
      </w:r>
      <w:r>
        <w:rPr>
          <w:rStyle w:val="VerbatimChar"/>
        </w:rPr>
        <w:t xml:space="preserve">{decision: "ALLOW" | "DENY", reason: "..."}</w:t>
      </w:r>
    </w:p>
    <w:bookmarkEnd w:id="30"/>
    <w:bookmarkStart w:id="31" w:name="v2-guard-python"/>
    <w:p>
      <w:pPr>
        <w:pStyle w:val="Heading3"/>
      </w:pPr>
      <w:r>
        <w:t xml:space="preserve">V2 Guard (Python)</w:t>
      </w:r>
    </w:p>
    <w:p>
      <w:pPr>
        <w:numPr>
          <w:ilvl w:val="0"/>
          <w:numId w:val="1006"/>
        </w:numPr>
        <w:pStyle w:val="Compact"/>
      </w:pPr>
      <w:r>
        <w:t xml:space="preserve">Independent implementation of the same procedure</w:t>
      </w:r>
    </w:p>
    <w:p>
      <w:pPr>
        <w:numPr>
          <w:ilvl w:val="0"/>
          <w:numId w:val="1006"/>
        </w:numPr>
        <w:pStyle w:val="Compact"/>
      </w:pPr>
      <w:r>
        <w:t xml:space="preserve">Compares with strict</w:t>
      </w:r>
      <w:r>
        <w:t xml:space="preserve"> </w:t>
      </w:r>
      <w:r>
        <w:rPr>
          <w:rStyle w:val="VerbatimChar"/>
        </w:rPr>
        <w:t xml:space="preserve">!=</w:t>
      </w:r>
      <w:r>
        <w:t xml:space="preserve"> </w:t>
      </w:r>
      <w:r>
        <w:t xml:space="preserve">equality per dimension</w:t>
      </w:r>
    </w:p>
    <w:p>
      <w:pPr>
        <w:numPr>
          <w:ilvl w:val="0"/>
          <w:numId w:val="1006"/>
        </w:numPr>
        <w:pStyle w:val="Compact"/>
      </w:pPr>
      <w:r>
        <w:t xml:space="preserve">Outputs:</w:t>
      </w:r>
      <w:r>
        <w:t xml:space="preserve"> </w:t>
      </w:r>
      <w:r>
        <w:rPr>
          <w:rStyle w:val="VerbatimChar"/>
        </w:rPr>
        <w:t xml:space="preserve">{decision: "ALLOW" | "DENY", reason: "..."}</w:t>
      </w:r>
    </w:p>
    <w:p>
      <w:pPr>
        <w:pStyle w:val="FirstParagraph"/>
      </w:pPr>
      <w:r>
        <w:rPr>
          <w:bCs/>
          <w:b/>
        </w:rPr>
        <w:t xml:space="preserve">Cross-runtime note:</w:t>
      </w:r>
      <w:r>
        <w:t xml:space="preserve"> </w:t>
      </w:r>
      <w:r>
        <w:t xml:space="preserve">All scenario values remain within the Unicode BMP so that JavaScript (UTF-16) and Python (code-point) exact-equality comparisons are identical. This ensures concordance reflects the decision logic, not encoding artifacts.</w:t>
      </w:r>
    </w:p>
    <w:p>
      <w:pPr>
        <w:pStyle w:val="BodyText"/>
      </w:pPr>
      <w:r>
        <w:rPr>
          <w:bCs/>
          <w:b/>
        </w:rPr>
        <w:t xml:space="preserve">Concordance requirement:</w:t>
      </w:r>
      <w:r>
        <w:t xml:space="preserve"> </w:t>
      </w:r>
      <w:r>
        <w:t xml:space="preserve">V1 and V2 must agree on every decision. Disagreement indicates ambiguity in the procedure definition.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kill-gate-calibration"/>
    <w:p>
      <w:pPr>
        <w:pStyle w:val="Heading2"/>
      </w:pPr>
      <w:r>
        <w:t xml:space="preserve">7. Kill-Gate Calibration</w:t>
      </w:r>
    </w:p>
    <w:p>
      <w:pPr>
        <w:pStyle w:val="FirstParagraph"/>
      </w:pPr>
      <w:r>
        <w:t xml:space="preserve">Before running the 8 arms, generate 100 calibration scenarios (mixed across all 8 arms) and evaluate with both guards. Verify: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Context-replay effectiveness:</w:t>
      </w:r>
      <w:r>
        <w:t xml:space="preserve"> </w:t>
      </w:r>
      <w:r>
        <w:t xml:space="preserve">All 100 scenarios pass the structural oracle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V1–V2 concordance:</w:t>
      </w:r>
      <w:r>
        <w:t xml:space="preserve"> </w:t>
      </w:r>
      <w:r>
        <w:t xml:space="preserve">≥ 99% agreement</w:t>
      </w:r>
    </w:p>
    <w:p>
      <w:pPr>
        <w:pStyle w:val="BodyText"/>
      </w:pPr>
      <w:r>
        <w:t xml:space="preserve">If the kill-gate fails, the experiment is</w:t>
      </w:r>
      <w:r>
        <w:t xml:space="preserve"> </w:t>
      </w:r>
      <w:r>
        <w:rPr>
          <w:bCs/>
          <w:b/>
        </w:rPr>
        <w:t xml:space="preserve">aborted</w:t>
      </w:r>
      <w:r>
        <w:t xml:space="preserve"> </w:t>
      </w:r>
      <w:r>
        <w:t xml:space="preserve">— the dual-guard setup is not ready.</w:t>
      </w:r>
    </w:p>
    <w:p>
      <w:r>
        <w:pict>
          <v:rect style="width:0;height:1.5pt" o:hralign="center" o:hrstd="t" o:hr="t"/>
        </w:pict>
      </w:r>
    </w:p>
    <w:bookmarkEnd w:id="33"/>
    <w:bookmarkStart w:id="34" w:name="execution-procedure"/>
    <w:p>
      <w:pPr>
        <w:pStyle w:val="Heading2"/>
      </w:pPr>
      <w:r>
        <w:t xml:space="preserve">8. Execution Procedure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LOCK</w:t>
      </w:r>
      <w:r>
        <w:t xml:space="preserve"> </w:t>
      </w:r>
      <w:r>
        <w:t xml:space="preserve">— Commit this preregistration, schema, dual guards, generator, runners, and a SHA-256 MANIFEST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any scenario is generated or evaluated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Kill-gate</w:t>
      </w:r>
      <w:r>
        <w:t xml:space="preserve"> </w:t>
      </w:r>
      <w:r>
        <w:t xml:space="preserve">— Generate 100 calibration scenarios; check effectiveness and concordance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Arm execution</w:t>
      </w:r>
      <w:r>
        <w:t xml:space="preserve"> </w:t>
      </w:r>
      <w:r>
        <w:t xml:space="preserve">— For each arm 1–8:</w:t>
      </w:r>
    </w:p>
    <w:p>
      <w:pPr>
        <w:numPr>
          <w:ilvl w:val="1"/>
          <w:numId w:val="1008"/>
        </w:numPr>
        <w:pStyle w:val="Compact"/>
      </w:pPr>
      <w:r>
        <w:t xml:space="preserve">Generate 100 scenarios (deterministic seed = SEED_BASE + arm)</w:t>
      </w:r>
    </w:p>
    <w:p>
      <w:pPr>
        <w:numPr>
          <w:ilvl w:val="1"/>
          <w:numId w:val="1008"/>
        </w:numPr>
        <w:pStyle w:val="Compact"/>
      </w:pPr>
      <w:r>
        <w:t xml:space="preserve">Verify context-replay effectiveness (abort if any scenario fails)</w:t>
      </w:r>
    </w:p>
    <w:p>
      <w:pPr>
        <w:numPr>
          <w:ilvl w:val="1"/>
          <w:numId w:val="1008"/>
        </w:numPr>
        <w:pStyle w:val="Compact"/>
      </w:pPr>
      <w:r>
        <w:t xml:space="preserve">Evaluate with V1 guard</w:t>
      </w:r>
    </w:p>
    <w:p>
      <w:pPr>
        <w:numPr>
          <w:ilvl w:val="1"/>
          <w:numId w:val="1008"/>
        </w:numPr>
        <w:pStyle w:val="Compact"/>
      </w:pPr>
      <w:r>
        <w:t xml:space="preserve">Evaluate with V2 guard</w:t>
      </w:r>
    </w:p>
    <w:p>
      <w:pPr>
        <w:numPr>
          <w:ilvl w:val="1"/>
          <w:numId w:val="1008"/>
        </w:numPr>
        <w:pStyle w:val="Compact"/>
      </w:pPr>
      <w:r>
        <w:t xml:space="preserve">Record concordance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Compute overall metrics</w:t>
      </w:r>
      <w:r>
        <w:t xml:space="preserve"> </w:t>
      </w:r>
      <w:r>
        <w:t xml:space="preserve">— g_allow_exact, g_deny_crosscontext_min, g_margin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Apply criteria</w:t>
      </w:r>
      <w:r>
        <w:t xml:space="preserve"> </w:t>
      </w:r>
      <w:r>
        <w:t xml:space="preserve">— C1, C2, C3 → VERDICT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Record results</w:t>
      </w:r>
      <w:r>
        <w:t xml:space="preserve"> </w:t>
      </w:r>
      <w:r>
        <w:t xml:space="preserve">— Fill MANIFEST OUTCOME; commit results; create tags</w:t>
      </w:r>
    </w:p>
    <w:p>
      <w:r>
        <w:pict>
          <v:rect style="width:0;height:1.5pt" o:hralign="center" o:hrstd="t" o:hr="t"/>
        </w:pict>
      </w:r>
    </w:p>
    <w:bookmarkEnd w:id="34"/>
    <w:bookmarkStart w:id="35" w:name="constraints-and-scope"/>
    <w:p>
      <w:pPr>
        <w:pStyle w:val="Heading2"/>
      </w:pPr>
      <w:r>
        <w:t xml:space="preserve">9. Constraints and Scope</w:t>
      </w:r>
    </w:p>
    <w:p>
      <w:pPr>
        <w:pStyle w:val="FirstParagraph"/>
      </w:pPr>
      <w:r>
        <w:rPr>
          <w:bCs/>
          <w:b/>
        </w:rPr>
        <w:t xml:space="preserve">What this tests:</w:t>
      </w:r>
      <w:r>
        <w:t xml:space="preserve"> </w:t>
      </w:r>
      <w:r>
        <w:t xml:space="preserve">- Whether a guard binds an authorization to its issuing context and refuses to transfer it to any other context</w:t>
      </w:r>
      <w:r>
        <w:t xml:space="preserve"> </w:t>
      </w:r>
      <w:r>
        <w:t xml:space="preserve">- Whether the comparison is strict enough to reject confusable near-matches</w:t>
      </w:r>
      <w:r>
        <w:t xml:space="preserve"> </w:t>
      </w:r>
      <w:r>
        <w:t xml:space="preserve">- Whether the decision procedure is clear enough for independent implementation (dual-guard concordance)</w:t>
      </w:r>
    </w:p>
    <w:p>
      <w:pPr>
        <w:pStyle w:val="BodyText"/>
      </w:pPr>
      <w:r>
        <w:rPr>
          <w:bCs/>
          <w:b/>
        </w:rPr>
        <w:t xml:space="preserve">What this does NOT test:</w:t>
      </w:r>
      <w:r>
        <w:t xml:space="preserve"> </w:t>
      </w:r>
      <w:r>
        <w:t xml:space="preserve">- Real token formats, JWT/PASETO audience claims, or OAuth scope semantics</w:t>
      </w:r>
      <w:r>
        <w:t xml:space="preserve"> </w:t>
      </w:r>
      <w:r>
        <w:t xml:space="preserve">- Cryptographic binding (signatures, key confirmation, DPoP) — this is logical context binding only</w:t>
      </w:r>
      <w:r>
        <w:t xml:space="preserve"> </w:t>
      </w:r>
      <w:r>
        <w:t xml:space="preserve">- Network-level replay (TLS, nonce caches) or timing/expiry (covered by ARK-442/ARK-451)</w:t>
      </w:r>
      <w:r>
        <w:t xml:space="preserve"> </w:t>
      </w:r>
      <w:r>
        <w:t xml:space="preserve">- Unicode normalization policy design — here, strict non-normalization is the tested behavior by construction</w:t>
      </w:r>
      <w:r>
        <w:t xml:space="preserve"> </w:t>
      </w:r>
      <w:r>
        <w:t xml:space="preserve">- Performance, latency, or throughput under load</w:t>
      </w:r>
    </w:p>
    <w:p>
      <w:pPr>
        <w:pStyle w:val="BodyText"/>
      </w:pPr>
      <w:r>
        <w:rPr>
          <w:bCs/>
          <w:b/>
        </w:rPr>
        <w:t xml:space="preserve">Constraints:</w:t>
      </w:r>
      <w:r>
        <w:t xml:space="preserve"> </w:t>
      </w:r>
      <w:r>
        <w:t xml:space="preserve">This is a classical/software boundary-logic testbed validating context-binding in isolation, not the end-to-end enterprise identity stack. Findings are scoped to the tested procedure, scenario generator, and arms.</w:t>
      </w:r>
    </w:p>
    <w:p>
      <w:r>
        <w:pict>
          <v:rect style="width:0;height:1.5pt" o:hralign="center" o:hrstd="t" o:hr="t"/>
        </w:pict>
      </w:r>
    </w:p>
    <w:bookmarkEnd w:id="35"/>
    <w:bookmarkStart w:id="36" w:name="provenance-and-integrity"/>
    <w:p>
      <w:pPr>
        <w:pStyle w:val="Heading2"/>
      </w:pPr>
      <w:r>
        <w:t xml:space="preserve">10. Provenance and Integrity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LOCK before execution:</w:t>
      </w:r>
      <w:r>
        <w:t xml:space="preserve"> </w:t>
      </w:r>
      <w:r>
        <w:t xml:space="preserve">Preregistration + schema + dual guards + generator + runners + MANIFEST (SHA-256) committed before any scenario generated or evaluated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No post-hoc criterion changes:</w:t>
      </w:r>
      <w:r>
        <w:t xml:space="preserve"> </w:t>
      </w:r>
      <w:r>
        <w:t xml:space="preserve">The three pass criteria (C1, C2, C3) are fixed at LOCK time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Honest reporting:</w:t>
      </w:r>
      <w:r>
        <w:t xml:space="preserve"> </w:t>
      </w:r>
      <w:r>
        <w:t xml:space="preserve">If the guard binds context correctly, report PASS. If any cross-context replay succeeds (ALLOW), report honest FAIL.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Commits not cryptographically signed:</w:t>
      </w:r>
      <w:r>
        <w:t xml:space="preserve"> </w:t>
      </w:r>
      <w:r>
        <w:t xml:space="preserve">Provenance = commit history + MANIFEST SHA-256 hashes</w:t>
      </w:r>
    </w:p>
    <w:p>
      <w:r>
        <w:pict>
          <v:rect style="width:0;height:1.5pt" o:hralign="center" o:hrstd="t" o:hr="t"/>
        </w:pict>
      </w:r>
    </w:p>
    <w:bookmarkEnd w:id="36"/>
    <w:bookmarkStart w:id="37" w:name="real-world-relevance"/>
    <w:p>
      <w:pPr>
        <w:pStyle w:val="Heading2"/>
      </w:pPr>
      <w:r>
        <w:t xml:space="preserve">11. Real-World Relevance</w:t>
      </w:r>
    </w:p>
    <w:p>
      <w:pPr>
        <w:pStyle w:val="FirstParagraph"/>
      </w:pPr>
      <w:r>
        <w:t xml:space="preserve">Confused-deputy / cross-context replay underlies many high-impact incidents:</w:t>
      </w:r>
      <w:r>
        <w:t xml:space="preserve"> </w:t>
      </w:r>
      <w:r>
        <w:t xml:space="preserve">- Multi-tenant SaaS isolation breaks (authorization for tenant A accepted for tenant B)</w:t>
      </w:r>
      <w:r>
        <w:t xml:space="preserve"> </w:t>
      </w:r>
      <w:r>
        <w:t xml:space="preserve">- OAuth/token audience confusion (token for one service accepted by another)</w:t>
      </w:r>
      <w:r>
        <w:t xml:space="preserve"> </w:t>
      </w:r>
      <w:r>
        <w:t xml:space="preserve">- Session token export/replay across sessions or devices</w:t>
      </w:r>
      <w:r>
        <w:t xml:space="preserve"> </w:t>
      </w:r>
      <w:r>
        <w:t xml:space="preserve">- Staging/sandbox credentials accepted in production</w:t>
      </w:r>
      <w:r>
        <w:t xml:space="preserve"> </w:t>
      </w:r>
      <w:r>
        <w:t xml:space="preserve">- Homoglyph/whitespace tricks defeating naive identifier comparison</w:t>
      </w:r>
    </w:p>
    <w:p>
      <w:pPr>
        <w:pStyle w:val="BodyText"/>
      </w:pPr>
      <w:r>
        <w:t xml:space="preserve">A guard that validates an authorization without re-binding it to the</w:t>
      </w:r>
      <w:r>
        <w:t xml:space="preserve"> </w:t>
      </w:r>
      <w:r>
        <w:rPr>
          <w:iCs/>
          <w:i/>
        </w:rPr>
        <w:t xml:space="preserve">exact</w:t>
      </w:r>
      <w:r>
        <w:t xml:space="preserve"> </w:t>
      </w:r>
      <w:r>
        <w:t xml:space="preserve">execution context is exploitable. ARK-457 validates strict, non-normalizing context binding.</w:t>
      </w:r>
    </w:p>
    <w:p>
      <w:r>
        <w:pict>
          <v:rect style="width:0;height:1.5pt" o:hralign="center" o:hrstd="t" o:hr="t"/>
        </w:pict>
      </w:r>
    </w:p>
    <w:bookmarkEnd w:id="37"/>
    <w:bookmarkStart w:id="38" w:name="expected-outcome"/>
    <w:p>
      <w:pPr>
        <w:pStyle w:val="Heading2"/>
      </w:pPr>
      <w:r>
        <w:t xml:space="preserve">12. Expected Outcome</w:t>
      </w:r>
    </w:p>
    <w:p>
      <w:pPr>
        <w:pStyle w:val="FirstParagraph"/>
      </w:pPr>
      <w:r>
        <w:t xml:space="preserve">If the guard binds context correctly: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Arm 1 (exact match):</w:t>
      </w:r>
      <w:r>
        <w:t xml:space="preserve"> </w:t>
      </w:r>
      <w:r>
        <w:t xml:space="preserve">ALLOW rate ≈ 100%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Arms 2–8 (cross-context, incl. confusable):</w:t>
      </w:r>
      <w:r>
        <w:t xml:space="preserve"> </w:t>
      </w:r>
      <w:r>
        <w:t xml:space="preserve">DENY rate ≈ 100%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V1–V2 concordance:</w:t>
      </w:r>
      <w:r>
        <w:t xml:space="preserve"> </w:t>
      </w:r>
      <w:r>
        <w:t xml:space="preserve">100%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VERDICT:</w:t>
      </w:r>
      <w:r>
        <w:t xml:space="preserve"> </w:t>
      </w:r>
      <w:r>
        <w:t xml:space="preserve">PASS</w:t>
      </w:r>
    </w:p>
    <w:p>
      <w:pPr>
        <w:pStyle w:val="BodyText"/>
      </w:pPr>
      <w:r>
        <w:t xml:space="preserve">If the guard leaks authorization across contexts (e.g. via lenient comparison):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Some of Arms 2–8:</w:t>
      </w:r>
      <w:r>
        <w:t xml:space="preserve"> </w:t>
      </w:r>
      <w:r>
        <w:t xml:space="preserve">ALLOW rate &gt; 0% (dangerous — authorization replayed across contexts)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VERDICT:</w:t>
      </w:r>
      <w:r>
        <w:t xml:space="preserve"> </w:t>
      </w:r>
      <w:r>
        <w:t xml:space="preserve">FAIL (honest)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Investigator:</w:t>
      </w:r>
      <w:r>
        <w:t xml:space="preserve"> </w:t>
      </w:r>
      <w:r>
        <w:t xml:space="preserve">Derek Hone, Remnant Fieldworks Inc.</w:t>
      </w:r>
      <w:r>
        <w:t xml:space="preserve"> </w:t>
      </w:r>
      <w:r>
        <w:rPr>
          <w:bCs/>
          <w:b/>
        </w:rPr>
        <w:t xml:space="preserve">Executor:</w:t>
      </w:r>
      <w:r>
        <w:t xml:space="preserve"> </w:t>
      </w:r>
      <w:r>
        <w:t xml:space="preserve">Abacus.AI autonomous agent (supervised)</w:t>
      </w:r>
      <w:r>
        <w:t xml:space="preserve"> </w:t>
      </w:r>
      <w:r>
        <w:rPr>
          <w:bCs/>
          <w:b/>
        </w:rPr>
        <w:t xml:space="preserve">Series:</w:t>
      </w:r>
      <w:r>
        <w:t xml:space="preserve"> </w:t>
      </w:r>
      <w:r>
        <w:t xml:space="preserve">ExecutionProof™ authorization-boundary corpus</w:t>
      </w:r>
      <w:r>
        <w:t xml:space="preserve"> </w:t>
      </w:r>
      <w:r>
        <w:rPr>
          <w:bCs/>
          <w:b/>
        </w:rPr>
        <w:t xml:space="preserve">Trademarks:</w:t>
      </w:r>
      <w:r>
        <w:t xml:space="preserve"> </w:t>
      </w:r>
      <w:r>
        <w:t xml:space="preserve">ExecutionProof™, ProofRecord™, VaultProof™, Verification Before Execution™, Proof Before Power™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If it cannot be verified, it cannot execute.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2026-07-18T00:16:34Z</dcterms:created>
  <dcterms:modified xsi:type="dcterms:W3CDTF">2026-07-18T00:16:34Z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