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rk-453-conflicting-evidence-must-hold"/>
    <w:p>
      <w:pPr>
        <w:pStyle w:val="Heading1"/>
      </w:pPr>
      <w:r>
        <w:t xml:space="preserve">ARK-453 — Conflicting Evidence Must HOLD</w:t>
      </w:r>
    </w:p>
    <w:bookmarkStart w:id="20" w:name="results-recorded-as-executed"/>
    <w:p>
      <w:pPr>
        <w:pStyle w:val="Heading2"/>
      </w:pPr>
      <w:r>
        <w:t xml:space="preserve">RESULTS (recorded as executed)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ARK-453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authorization-boundary corpus (enterprise-failure-mode phase)</w:t>
      </w:r>
      <w:r>
        <w:br/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quantum hardware, no cryptography)</w:t>
      </w:r>
      <w:r>
        <w:br/>
      </w:r>
      <w:r>
        <w:rPr>
          <w:bCs/>
          <w:b/>
        </w:rPr>
        <w:t xml:space="preserve">Execution window:</w:t>
      </w:r>
      <w:r>
        <w:t xml:space="preserve"> </w:t>
      </w:r>
      <w:r>
        <w:t xml:space="preserve">2026-07-17T19:37:12Z to 2026-07-17T19:37:13Z (UTC)</w:t>
      </w:r>
      <w:r>
        <w:br/>
      </w:r>
      <w:r>
        <w:rPr>
          <w:bCs/>
          <w:b/>
        </w:rPr>
        <w:t xml:space="preserve">VERDICT:</w:t>
      </w:r>
      <w:r>
        <w:t xml:space="preserve"> </w:t>
      </w:r>
      <w:r>
        <w:rPr>
          <w:bCs/>
          <w:b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0"/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ARK-453 tested whether an independent authorization resolver correctly distinguishes</w:t>
      </w:r>
      <w:r>
        <w:t xml:space="preserve"> </w:t>
      </w:r>
      <w:r>
        <w:rPr>
          <w:bCs/>
          <w:b/>
        </w:rPr>
        <w:t xml:space="preserve">consensus</w:t>
      </w:r>
      <w:r>
        <w:t xml:space="preserve"> </w:t>
      </w:r>
      <w:r>
        <w:t xml:space="preserve">(all evidence sources agree) from</w:t>
      </w:r>
      <w:r>
        <w:t xml:space="preserve"> </w:t>
      </w:r>
      <w:r>
        <w:rPr>
          <w:bCs/>
          <w:b/>
        </w:rPr>
        <w:t xml:space="preserve">conflict</w:t>
      </w:r>
      <w:r>
        <w:t xml:space="preserve"> </w:t>
      </w:r>
      <w:r>
        <w:t xml:space="preserve">(sources disagree or are unavailable) and emits the appropriate decision: ALLOW for unanimous permission, DENY for unanimous prohibition, and HOLD for disagreement or ambiguity.</w:t>
      </w:r>
    </w:p>
    <w:p>
      <w:pPr>
        <w:pStyle w:val="BodyText"/>
      </w:pPr>
      <w:r>
        <w:rPr>
          <w:bCs/>
          <w:b/>
        </w:rPr>
        <w:t xml:space="preserve">Question:</w:t>
      </w:r>
      <w:r>
        <w:t xml:space="preserve"> </w:t>
      </w:r>
      <w:r>
        <w:t xml:space="preserve">When evidence sources disagree about an authorization decision, does an independent resolver choose HOLD rather than optimistically allowing or denying?</w:t>
      </w:r>
    </w:p>
    <w:p>
      <w:pPr>
        <w:pStyle w:val="BodyText"/>
      </w:pPr>
      <w:r>
        <w:rPr>
          <w:bCs/>
          <w:b/>
        </w:rPr>
        <w:t xml:space="preserve">Answer: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Both independently implemented resolvers (V1 JavaScript, V2 Python) correctly identified all consensus scenarios and all conflict/ambiguous scenarios with 100% accuracy and 100% mutual agreement across 800 evaluation decisions.</w:t>
      </w:r>
    </w:p>
    <w:p>
      <w:r>
        <w:pict>
          <v:rect style="width:0;height:1.5pt" o:hralign="center" o:hrstd="t" o:hr="t"/>
        </w:pict>
      </w:r>
    </w:p>
    <w:bookmarkEnd w:id="21"/>
    <w:bookmarkStart w:id="22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rPr>
          <w:bCs/>
          <w:b/>
        </w:rPr>
        <w:t xml:space="preserve">Structure:</w:t>
      </w:r>
      <w:r>
        <w:t xml:space="preserve"> </w:t>
      </w:r>
      <w:r>
        <w:t xml:space="preserve">8 arms × 100 scenarios per arm =</w:t>
      </w:r>
      <w:r>
        <w:t xml:space="preserve"> </w:t>
      </w:r>
      <w:r>
        <w:rPr>
          <w:bCs/>
          <w:b/>
        </w:rPr>
        <w:t xml:space="preserve">800 evaluation decisions</w:t>
      </w:r>
    </w:p>
    <w:p>
      <w:pPr>
        <w:pStyle w:val="BodyText"/>
      </w:pPr>
      <w:r>
        <w:rPr>
          <w:bCs/>
          <w:b/>
        </w:rPr>
        <w:t xml:space="preserve">Evidence model:</w:t>
      </w:r>
      <w:r>
        <w:t xml:space="preserve"> </w:t>
      </w:r>
      <w:r>
        <w:t xml:space="preserve">Each scenario presents signals from 6 independent sources (identity, policy, risk, approval, registry, temporal). Each source emits one of three signals:</w:t>
      </w:r>
      <w:r>
        <w:t xml:space="preserve"> </w:t>
      </w:r>
      <w:r>
        <w:rPr>
          <w:rStyle w:val="VerbatimChar"/>
        </w:rPr>
        <w:t xml:space="preserve">ALLOW_SIGNAL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DENY_SIGNAL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Decision procedure (both resolvers):</w:t>
      </w:r>
      <w:r>
        <w:t xml:space="preserve"> </w:t>
      </w:r>
      <w:r>
        <w:t xml:space="preserve">1. If any source = UNKNOWN → HOLD</w:t>
      </w:r>
      <w:r>
        <w:t xml:space="preserve"> </w:t>
      </w:r>
      <w:r>
        <w:t xml:space="preserve">2. Collect unique non-UNKNOWN signals</w:t>
      </w:r>
      <w:r>
        <w:t xml:space="preserve"> </w:t>
      </w:r>
      <w:r>
        <w:t xml:space="preserve">3. If all sources emit ALLOW_SIGNAL → ALLOW</w:t>
      </w:r>
      <w:r>
        <w:t xml:space="preserve"> </w:t>
      </w:r>
      <w:r>
        <w:t xml:space="preserve">4. If all sources emit DENY_SIGNAL → DENY</w:t>
      </w:r>
      <w:r>
        <w:t xml:space="preserve"> </w:t>
      </w:r>
      <w:r>
        <w:t xml:space="preserve">5. If sources disagree (mixed ALLOW/DENY) → HOLD</w:t>
      </w:r>
    </w:p>
    <w:p>
      <w:pPr>
        <w:pStyle w:val="BodyText"/>
      </w:pPr>
      <w:r>
        <w:rPr>
          <w:bCs/>
          <w:b/>
        </w:rPr>
        <w:t xml:space="preserve">Arms:</w:t>
      </w:r>
      <w:r>
        <w:t xml:space="preserve"> </w:t>
      </w:r>
      <w:r>
        <w:t xml:space="preserve">| Arm | Label | Configuration | Expected |</w:t>
      </w:r>
      <w:r>
        <w:t xml:space="preserve"> </w:t>
      </w:r>
      <w:r>
        <w:t xml:space="preserve">|—–|——-|—————|———-|</w:t>
      </w:r>
      <w:r>
        <w:t xml:space="preserve"> </w:t>
      </w:r>
      <w:r>
        <w:t xml:space="preserve">| 1 | CONSENSUS-all-allow | All 6 sources = ALLOW | ALLOW |</w:t>
      </w:r>
      <w:r>
        <w:t xml:space="preserve"> </w:t>
      </w:r>
      <w:r>
        <w:t xml:space="preserve">| 2 | CONSENSUS-all-deny | All 6 sources = DENY | DENY |</w:t>
      </w:r>
      <w:r>
        <w:t xml:space="preserve"> </w:t>
      </w:r>
      <w:r>
        <w:t xml:space="preserve">| 3 | CONFLICT-identity-policy | Identity + policy DENY, rest ALLOW | HOLD |</w:t>
      </w:r>
      <w:r>
        <w:t xml:space="preserve"> </w:t>
      </w:r>
      <w:r>
        <w:t xml:space="preserve">| 4 | CONFLICT-risk-elevation | Risk DENY, rest ALLOW | HOLD |</w:t>
      </w:r>
      <w:r>
        <w:t xml:space="preserve"> </w:t>
      </w:r>
      <w:r>
        <w:t xml:space="preserve">| 5 | CONFLICT-registry-revocation | Registry DENY, rest ALLOW | HOLD |</w:t>
      </w:r>
      <w:r>
        <w:t xml:space="preserve"> </w:t>
      </w:r>
      <w:r>
        <w:t xml:space="preserve">| 6 | CONFLICT-approval-mismatch | Approval DENY, rest ALLOW | HOLD |</w:t>
      </w:r>
      <w:r>
        <w:t xml:space="preserve"> </w:t>
      </w:r>
      <w:r>
        <w:t xml:space="preserve">| 7 | CONFLICT-temporal-inconsistency | Temporal DENY, rest ALLOW | HOLD |</w:t>
      </w:r>
      <w:r>
        <w:t xml:space="preserve"> </w:t>
      </w:r>
      <w:r>
        <w:t xml:space="preserve">| 8 | AMBIGUOUS-missing-critical | 2 sources UNKNOWN, rest mixed | HOLD |</w:t>
      </w:r>
    </w:p>
    <w:p>
      <w:r>
        <w:pict>
          <v:rect style="width:0;height:1.5pt" o:hralign="center" o:hrstd="t" o:hr="t"/>
        </w:pict>
      </w:r>
    </w:p>
    <w:bookmarkEnd w:id="22"/>
    <w:bookmarkStart w:id="25" w:name="primary-results"/>
    <w:p>
      <w:pPr>
        <w:pStyle w:val="Heading2"/>
      </w:pPr>
      <w:r>
        <w:t xml:space="preserve">Primary Results</w:t>
      </w:r>
    </w:p>
    <w:bookmarkStart w:id="23" w:name="pass-criteria-preregistered"/>
    <w:p>
      <w:pPr>
        <w:pStyle w:val="Heading3"/>
      </w:pPr>
      <w:r>
        <w:t xml:space="preserve">Pass Criteria (preregistered)</w:t>
      </w:r>
    </w:p>
    <w:p>
      <w:pPr>
        <w:pStyle w:val="FirstParagraph"/>
      </w:pPr>
      <w:r>
        <w:t xml:space="preserve">Let: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g_allow_consensus</w:t>
      </w:r>
      <w:r>
        <w:t xml:space="preserve"> </w:t>
      </w:r>
      <w:r>
        <w:t xml:space="preserve">= ALLOW rate in Arm 1 (consensus-all-allow)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g_hold_conflict_min</w:t>
      </w:r>
      <w:r>
        <w:t xml:space="preserve"> </w:t>
      </w:r>
      <w:r>
        <w:t xml:space="preserve">= minimum HOLD rate across Arms 3–8 (conflict/ambiguous)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g_margin</w:t>
      </w:r>
      <w:r>
        <w:t xml:space="preserve"> </w:t>
      </w:r>
      <w:r>
        <w:t xml:space="preserve">= min(g_allow_consensus, g_hold_conflict_min) − 0.05</w:t>
      </w:r>
    </w:p>
    <w:p>
      <w:pPr>
        <w:pStyle w:val="BodyText"/>
      </w:pPr>
      <w:r>
        <w:rPr>
          <w:bCs/>
          <w:b/>
        </w:rPr>
        <w:t xml:space="preserve">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C1:</w:t>
      </w:r>
      <w:r>
        <w:t xml:space="preserve"> </w:t>
      </w:r>
      <w:r>
        <w:t xml:space="preserve">g_allow_consensus ≥ 0.95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C2:</w:t>
      </w:r>
      <w:r>
        <w:t xml:space="preserve"> </w:t>
      </w:r>
      <w:r>
        <w:t xml:space="preserve">g_hold_conflict_min ≥ 0.95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C3:</w:t>
      </w:r>
      <w:r>
        <w:t xml:space="preserve"> </w:t>
      </w:r>
      <w:r>
        <w:t xml:space="preserve">g_margin ≥ 0.90</w:t>
      </w:r>
    </w:p>
    <w:bookmarkEnd w:id="23"/>
    <w:bookmarkStart w:id="24" w:name="measured-values"/>
    <w:p>
      <w:pPr>
        <w:pStyle w:val="Heading3"/>
      </w:pPr>
      <w:r>
        <w:t xml:space="preserve">Measured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g_allow_consensus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g_hold_conflict_min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three criteria met.</w:t>
      </w:r>
      <w:r>
        <w:t xml:space="preserve"> </w:t>
      </w:r>
      <w:r>
        <w:t xml:space="preserve">VERDICT:</w:t>
      </w:r>
      <w:r>
        <w:t xml:space="preserve"> </w:t>
      </w:r>
      <w:r>
        <w:rPr>
          <w:bCs/>
          <w:b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er-arm-results"/>
    <w:p>
      <w:pPr>
        <w:pStyle w:val="Heading2"/>
      </w:pPr>
      <w:r>
        <w:t xml:space="preserve">Per-Arm Results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1108"/>
        <w:gridCol w:w="1108"/>
        <w:gridCol w:w="950"/>
        <w:gridCol w:w="950"/>
        <w:gridCol w:w="30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V1–V2 Concordance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CONSENSUS-all-allow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CONSENSUS-all-deny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CONFLICT-identity-policy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CONFLICT-risk-elevation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CONFLICT-registry-revocation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CONFLICT-approval-mismatch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CONFLICT-temporal-inconsistency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AMBIGUOUS-missing-critical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- Arm 1 (consensus-all-allow): ALLOW 100% — correctly permits when all sources agree to allow</w:t>
      </w:r>
      <w:r>
        <w:t xml:space="preserve"> </w:t>
      </w:r>
      <w:r>
        <w:t xml:space="preserve">- Arm 2 (consensus-all-deny): DENY 100% — correctly denies when all sources agree to deny</w:t>
      </w:r>
      <w:r>
        <w:t xml:space="preserve"> </w:t>
      </w:r>
      <w:r>
        <w:t xml:space="preserve">- Arms 3–8 (conflict/ambiguous): HOLD 100% — correctly escalates when sources disagree or are unavailable</w:t>
      </w:r>
      <w:r>
        <w:t xml:space="preserve"> </w:t>
      </w:r>
      <w:r>
        <w:t xml:space="preserve">- Perfect separation: no false ALLOW on conflict, no false DENY on conflict, no false HOLD on consensus</w:t>
      </w:r>
    </w:p>
    <w:p>
      <w:r>
        <w:pict>
          <v:rect style="width:0;height:1.5pt" o:hralign="center" o:hrstd="t" o:hr="t"/>
        </w:pict>
      </w:r>
    </w:p>
    <w:bookmarkEnd w:id="26"/>
    <w:bookmarkStart w:id="29" w:name="secondary-observations"/>
    <w:p>
      <w:pPr>
        <w:pStyle w:val="Heading2"/>
      </w:pPr>
      <w:r>
        <w:t xml:space="preserve">Secondary Observations</w:t>
      </w:r>
    </w:p>
    <w:bookmarkStart w:id="27" w:name="dual-resolver-concordance"/>
    <w:p>
      <w:pPr>
        <w:pStyle w:val="Heading3"/>
      </w:pPr>
      <w:r>
        <w:t xml:space="preserve">Dual-Resolver Concordance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Overall V1–V2 concordance:</w:t>
      </w:r>
      <w:r>
        <w:t xml:space="preserve"> </w:t>
      </w:r>
      <w:r>
        <w:t xml:space="preserve">100.00% (800/800 agreements)</w:t>
      </w:r>
    </w:p>
    <w:p>
      <w:pPr>
        <w:numPr>
          <w:ilvl w:val="0"/>
          <w:numId w:val="1001"/>
        </w:numPr>
        <w:pStyle w:val="Compact"/>
      </w:pPr>
      <w:r>
        <w:t xml:space="preserve">Both independently written resolvers (JavaScript, Python) agreed on every single decision across all 800 scenarios</w:t>
      </w:r>
    </w:p>
    <w:p>
      <w:pPr>
        <w:numPr>
          <w:ilvl w:val="0"/>
          <w:numId w:val="1001"/>
        </w:numPr>
        <w:pStyle w:val="Compact"/>
      </w:pPr>
      <w:r>
        <w:t xml:space="preserve">Confirms the decision procedure is clear, deterministic, and implementable without ambiguity</w:t>
      </w:r>
    </w:p>
    <w:bookmarkEnd w:id="27"/>
    <w:bookmarkStart w:id="28" w:name="consensus-deny-performance"/>
    <w:p>
      <w:pPr>
        <w:pStyle w:val="Heading3"/>
      </w:pPr>
      <w:r>
        <w:t xml:space="preserve">Consensus-DENY Performance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g_deny_consensus (Arm 2 DENY rate):</w:t>
      </w:r>
      <w:r>
        <w:t xml:space="preserve"> </w:t>
      </w:r>
      <w:r>
        <w:t xml:space="preserve">1.0000</w:t>
      </w:r>
    </w:p>
    <w:p>
      <w:pPr>
        <w:numPr>
          <w:ilvl w:val="0"/>
          <w:numId w:val="1002"/>
        </w:numPr>
        <w:pStyle w:val="Compact"/>
      </w:pPr>
      <w:r>
        <w:t xml:space="preserve">Not a formal pass criterion, but confirms the resolver correctly handles unanimous denial (fail-closed consensus)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gates-and-safeguards"/>
    <w:p>
      <w:pPr>
        <w:pStyle w:val="Heading2"/>
      </w:pPr>
      <w:r>
        <w:t xml:space="preserve">Gates and Safeguards</w:t>
      </w:r>
    </w:p>
    <w:bookmarkStart w:id="30" w:name="kill-gate-calibration"/>
    <w:p>
      <w:pPr>
        <w:pStyle w:val="Heading3"/>
      </w:pPr>
      <w:r>
        <w:t xml:space="preserve">Kill-Gate Calibration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</w:t>
      </w:r>
    </w:p>
    <w:p>
      <w:pPr>
        <w:numPr>
          <w:ilvl w:val="0"/>
          <w:numId w:val="1003"/>
        </w:numPr>
        <w:pStyle w:val="Compact"/>
      </w:pPr>
      <w:r>
        <w:t xml:space="preserve">100 calibration scenarios generated (50 consensus, 50 conflict/ambiguous)</w:t>
      </w:r>
    </w:p>
    <w:p>
      <w:pPr>
        <w:numPr>
          <w:ilvl w:val="0"/>
          <w:numId w:val="1003"/>
        </w:numPr>
        <w:pStyle w:val="Compact"/>
      </w:pPr>
      <w:r>
        <w:t xml:space="preserve">Conflict-effectiveness gate: all 100 scenarios verified as genuinely encoding their conflict/consensus class</w:t>
      </w:r>
    </w:p>
    <w:p>
      <w:pPr>
        <w:numPr>
          <w:ilvl w:val="0"/>
          <w:numId w:val="1003"/>
        </w:numPr>
        <w:pStyle w:val="Compact"/>
      </w:pPr>
      <w:r>
        <w:t xml:space="preserve">V1–V2 concordance: 100% (100/100)</w:t>
      </w:r>
    </w:p>
    <w:p>
      <w:pPr>
        <w:numPr>
          <w:ilvl w:val="0"/>
          <w:numId w:val="1003"/>
        </w:numPr>
        <w:pStyle w:val="Compact"/>
      </w:pPr>
      <w:r>
        <w:t xml:space="preserve">Gate threshold: ≥ 99% concordance required to proceed →</w:t>
      </w:r>
      <w:r>
        <w:t xml:space="preserve"> </w:t>
      </w:r>
      <w:r>
        <w:rPr>
          <w:bCs/>
          <w:b/>
        </w:rPr>
        <w:t xml:space="preserve">exceeded</w:t>
      </w:r>
    </w:p>
    <w:bookmarkEnd w:id="30"/>
    <w:bookmarkStart w:id="31" w:name="conflict-effectiveness-gate-per-arm"/>
    <w:p>
      <w:pPr>
        <w:pStyle w:val="Heading3"/>
      </w:pPr>
      <w:r>
        <w:t xml:space="preserve">Conflict-Effectiveness Gate (per arm)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 on all 8 arms</w:t>
      </w:r>
    </w:p>
    <w:p>
      <w:pPr>
        <w:numPr>
          <w:ilvl w:val="0"/>
          <w:numId w:val="1004"/>
        </w:numPr>
        <w:pStyle w:val="Compact"/>
      </w:pPr>
      <w:r>
        <w:t xml:space="preserve">Every scenario in every arm verified by independent structural oracle to genuinely encode its conflict/consensus class</w:t>
      </w:r>
    </w:p>
    <w:p>
      <w:pPr>
        <w:numPr>
          <w:ilvl w:val="0"/>
          <w:numId w:val="1004"/>
        </w:numPr>
        <w:pStyle w:val="Compact"/>
      </w:pPr>
      <w:r>
        <w:t xml:space="preserve">Prevents ARK-455-style no-op defects where a test case appears to encode a condition but is mathematically inert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800/800 scenarios validated</w:t>
      </w:r>
      <w:r>
        <w:t xml:space="preserve"> </w:t>
      </w:r>
      <w:r>
        <w:t xml:space="preserve">as effective before evaluation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interpretation"/>
    <w:p>
      <w:pPr>
        <w:pStyle w:val="Heading2"/>
      </w:pPr>
      <w:r>
        <w:t xml:space="preserve">Interpretation</w:t>
      </w:r>
    </w:p>
    <w:bookmarkStart w:id="33" w:name="what-this-result-means"/>
    <w:p>
      <w:pPr>
        <w:pStyle w:val="Heading3"/>
      </w:pPr>
      <w:r>
        <w:t xml:space="preserve">What This Result Means</w:t>
      </w:r>
    </w:p>
    <w:p>
      <w:pPr>
        <w:pStyle w:val="FirstParagraph"/>
      </w:pPr>
      <w:r>
        <w:t xml:space="preserve">ARK-453 demonstrates that an authorization resolver can reliably distinguish: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Consensus → decisive action:</w:t>
      </w:r>
      <w:r>
        <w:t xml:space="preserve"> </w:t>
      </w:r>
      <w:r>
        <w:t xml:space="preserve">When all evidence sources agree (ALLOW or DENY), act decisively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Conflict → escalation:</w:t>
      </w:r>
      <w:r>
        <w:t xml:space="preserve"> </w:t>
      </w:r>
      <w:r>
        <w:t xml:space="preserve">When sources disagree or critical data is missing (UNKNOWN), escalate to HOLD rather than guess</w:t>
      </w:r>
    </w:p>
    <w:p>
      <w:pPr>
        <w:pStyle w:val="BodyText"/>
      </w:pPr>
      <w:r>
        <w:t xml:space="preserve">The three-state decision model (ALLOW / HOLD / DENY) is not just theoretically necessary — it is</w:t>
      </w:r>
      <w:r>
        <w:t xml:space="preserve"> </w:t>
      </w:r>
      <w:r>
        <w:rPr>
          <w:bCs/>
          <w:b/>
        </w:rPr>
        <w:t xml:space="preserve">practically implementable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commercially meaningful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HOLD prevents optimistic overreach</w:t>
      </w:r>
      <w:r>
        <w:t xml:space="preserve"> </w:t>
      </w:r>
      <w:r>
        <w:t xml:space="preserve">(allowing when evidence conflicts)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HOLD prevents pessimistic obstruction</w:t>
      </w:r>
      <w:r>
        <w:t xml:space="preserve"> </w:t>
      </w:r>
      <w:r>
        <w:t xml:space="preserve">(denying when legitimate but uncertain)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HOLD acknowledges uncertainty</w:t>
      </w:r>
      <w:r>
        <w:t xml:space="preserve"> </w:t>
      </w:r>
      <w:r>
        <w:t xml:space="preserve">and routes to appropriate human or elevated review</w:t>
      </w:r>
    </w:p>
    <w:p>
      <w:pPr>
        <w:pStyle w:val="BodyText"/>
      </w:pPr>
      <w:r>
        <w:t xml:space="preserve">This validates the ExecutionProof governance model’s use of HOLD as a first-class decision outcome, not merely a fallback or error state.</w:t>
      </w:r>
    </w:p>
    <w:bookmarkEnd w:id="33"/>
    <w:bookmarkStart w:id="34" w:name="real-world-relevance"/>
    <w:p>
      <w:pPr>
        <w:pStyle w:val="Heading3"/>
      </w:pPr>
      <w:r>
        <w:t xml:space="preserve">Real-World Relevance</w:t>
      </w:r>
    </w:p>
    <w:p>
      <w:pPr>
        <w:pStyle w:val="FirstParagraph"/>
      </w:pPr>
      <w:r>
        <w:t xml:space="preserve">In enterprise settings, conflicting evidence signals are routine:</w:t>
      </w:r>
      <w:r>
        <w:t xml:space="preserve"> </w:t>
      </w:r>
      <w:r>
        <w:t xml:space="preserve">- Identity provider reports</w:t>
      </w:r>
      <w:r>
        <w:t xml:space="preserve"> </w:t>
      </w:r>
      <w:r>
        <w:t xml:space="preserve">“</w:t>
      </w:r>
      <w:r>
        <w:t xml:space="preserve">valid</w:t>
      </w:r>
      <w:r>
        <w:t xml:space="preserve">”</w:t>
      </w:r>
      <w:r>
        <w:t xml:space="preserve"> </w:t>
      </w:r>
      <w:r>
        <w:t xml:space="preserve">while policy engine reports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  <w:r>
        <w:t xml:space="preserve"> </w:t>
      </w:r>
      <w:r>
        <w:t xml:space="preserve">- Risk assessment flags</w:t>
      </w:r>
      <w:r>
        <w:t xml:space="preserve"> </w:t>
      </w:r>
      <w:r>
        <w:t xml:space="preserve">“</w:t>
      </w:r>
      <w:r>
        <w:t xml:space="preserve">elevated</w:t>
      </w:r>
      <w:r>
        <w:t xml:space="preserve">”</w:t>
      </w:r>
      <w:r>
        <w:t xml:space="preserve"> </w:t>
      </w:r>
      <w:r>
        <w:t xml:space="preserve">while approval workflow says</w:t>
      </w:r>
      <w:r>
        <w:t xml:space="preserve"> </w:t>
      </w:r>
      <w:r>
        <w:t xml:space="preserve">“</w:t>
      </w:r>
      <w:r>
        <w:t xml:space="preserve">proceed</w:t>
      </w:r>
      <w:r>
        <w:t xml:space="preserve">”</w:t>
      </w:r>
      <w:r>
        <w:t xml:space="preserve"> </w:t>
      </w:r>
      <w:r>
        <w:t xml:space="preserve">- Authoritative registry shows</w:t>
      </w:r>
      <w:r>
        <w:t xml:space="preserve"> </w:t>
      </w:r>
      <w:r>
        <w:t xml:space="preserve">“</w:t>
      </w:r>
      <w:r>
        <w:t xml:space="preserve">revoked</w:t>
      </w:r>
      <w:r>
        <w:t xml:space="preserve">”</w:t>
      </w:r>
      <w:r>
        <w:t xml:space="preserve"> </w:t>
      </w:r>
      <w:r>
        <w:t xml:space="preserve">while local cache shows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- Critical evidence source is unavailable (network partition, service degradation)</w:t>
      </w:r>
    </w:p>
    <w:p>
      <w:pPr>
        <w:pStyle w:val="BodyText"/>
      </w:pPr>
      <w:r>
        <w:t xml:space="preserve">ARK-453 shows that a properly designed resolver will</w:t>
      </w:r>
      <w:r>
        <w:t xml:space="preserve"> </w:t>
      </w:r>
      <w:r>
        <w:rPr>
          <w:bCs/>
          <w:b/>
        </w:rPr>
        <w:t xml:space="preserve">escalate appropriately</w:t>
      </w:r>
      <w:r>
        <w:t xml:space="preserve"> </w:t>
      </w:r>
      <w:r>
        <w:t xml:space="preserve">rather than making a binary ALLOW/DENY choice under uncertainty.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imitations-and-scope"/>
    <w:p>
      <w:pPr>
        <w:pStyle w:val="Heading2"/>
      </w:pPr>
      <w:r>
        <w:t xml:space="preserve">Limitations and Scope</w:t>
      </w:r>
    </w:p>
    <w:p>
      <w:pPr>
        <w:pStyle w:val="FirstParagraph"/>
      </w:pPr>
      <w:r>
        <w:rPr>
          <w:bCs/>
          <w:b/>
        </w:rPr>
        <w:t xml:space="preserve">What this experiment tested:</w:t>
      </w:r>
      <w:r>
        <w:t xml:space="preserve"> </w:t>
      </w:r>
      <w:r>
        <w:t xml:space="preserve">- Whether a resolver correctly classifies scenarios into consensus vs. conflict in a controlled evidence model</w:t>
      </w:r>
      <w:r>
        <w:t xml:space="preserve"> </w:t>
      </w:r>
      <w:r>
        <w:t xml:space="preserve">- Whether HOLD is emitted appropriately when conflict or ambiguity is present</w:t>
      </w:r>
      <w:r>
        <w:t xml:space="preserve"> </w:t>
      </w:r>
      <w:r>
        <w:t xml:space="preserve">- Whether the decision procedure is clear enough for independent implementation</w:t>
      </w:r>
    </w:p>
    <w:p>
      <w:pPr>
        <w:pStyle w:val="BodyText"/>
      </w:pPr>
      <w:r>
        <w:rPr>
          <w:bCs/>
          <w:b/>
        </w:rPr>
        <w:t xml:space="preserve">What this does NOT test:</w:t>
      </w:r>
      <w:r>
        <w:t xml:space="preserve"> </w:t>
      </w:r>
      <w:r>
        <w:t xml:space="preserve">- Real-world evidence source reliability or adversarial manipulation of evidence</w:t>
      </w:r>
      <w:r>
        <w:t xml:space="preserve"> </w:t>
      </w:r>
      <w:r>
        <w:t xml:space="preserve">- Distributed system behavior, network failures, or timing attacks</w:t>
      </w:r>
      <w:r>
        <w:t xml:space="preserve"> </w:t>
      </w:r>
      <w:r>
        <w:t xml:space="preserve">- Cryptographic integrity of evidence records</w:t>
      </w:r>
      <w:r>
        <w:t xml:space="preserve"> </w:t>
      </w:r>
      <w:r>
        <w:t xml:space="preserve">- Human escalation procedures after HOLD is emitted</w:t>
      </w:r>
      <w:r>
        <w:t xml:space="preserve"> </w:t>
      </w:r>
      <w:r>
        <w:t xml:space="preserve">- Performance or scalability under production load</w:t>
      </w:r>
      <w:r>
        <w:t xml:space="preserve"> </w:t>
      </w:r>
      <w:r>
        <w:t xml:space="preserve">- Multi-layered policy hierarchies or dynamic evidence weighting</w:t>
      </w:r>
    </w:p>
    <w:p>
      <w:pPr>
        <w:pStyle w:val="BodyTex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This is a classical/software boundary-logic testbed validating the decision procedure in isolation, not the end-to-end enterprise authorization stack.</w:t>
      </w:r>
    </w:p>
    <w:p>
      <w:r>
        <w:pict>
          <v:rect style="width:0;height:1.5pt" o:hralign="center" o:hrstd="t" o:hr="t"/>
        </w:pict>
      </w:r>
    </w:p>
    <w:bookmarkEnd w:id="36"/>
    <w:bookmarkStart w:id="39" w:name="provenance-and-integrity"/>
    <w:p>
      <w:pPr>
        <w:pStyle w:val="Heading2"/>
      </w:pPr>
      <w:r>
        <w:t xml:space="preserve">Provenance and Integrity</w:t>
      </w:r>
    </w:p>
    <w:bookmarkStart w:id="37" w:name="lock-procedure"/>
    <w:p>
      <w:pPr>
        <w:pStyle w:val="Heading3"/>
      </w:pPr>
      <w:r>
        <w:t xml:space="preserve">LOCK Procedure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Preregistration, dual resolvers, generator, MANIFEST (SHA-256 hashes) committed BEFORE execution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697754f2467984ae29a1b0ccb068d8ac528db5ea</w:t>
      </w:r>
      <w:r>
        <w:t xml:space="preserve"> </w:t>
      </w:r>
      <w:r>
        <w:t xml:space="preserve">(2026-07-17T19:37:01Z UTC)</w:t>
      </w:r>
    </w:p>
    <w:p>
      <w:pPr>
        <w:numPr>
          <w:ilvl w:val="0"/>
          <w:numId w:val="1005"/>
        </w:numPr>
        <w:pStyle w:val="Compact"/>
      </w:pPr>
      <w:r>
        <w:t xml:space="preserve">No scenario was generated or evaluated until after LOCK commit</w:t>
      </w:r>
    </w:p>
    <w:p>
      <w:pPr>
        <w:numPr>
          <w:ilvl w:val="0"/>
          <w:numId w:val="1005"/>
        </w:numPr>
        <w:pStyle w:val="Compact"/>
      </w:pPr>
      <w:r>
        <w:t xml:space="preserve">Results recorded AFTER execution complete</w:t>
      </w:r>
    </w:p>
    <w:bookmarkEnd w:id="37"/>
    <w:bookmarkStart w:id="38" w:name="manifest-sha-256-hashes-locked-files"/>
    <w:p>
      <w:pPr>
        <w:pStyle w:val="Heading3"/>
      </w:pPr>
      <w:r>
        <w:t xml:space="preserve">MANIFEST SHA-256 Hashes (locked files)</w:t>
      </w:r>
    </w:p>
    <w:p>
      <w:pPr>
        <w:pStyle w:val="SourceCode"/>
      </w:pPr>
      <w:r>
        <w:rPr>
          <w:rStyle w:val="VerbatimChar"/>
        </w:rPr>
        <w:t xml:space="preserve">PREREGISTRATION.md:                        528e2dc4057b1ca2788e1a9da3c1c88c3f40ed8c47093f362f4f8a5a289a823d</w:t>
      </w:r>
      <w:r>
        <w:br/>
      </w:r>
      <w:r>
        <w:rPr>
          <w:rStyle w:val="VerbatimChar"/>
        </w:rPr>
        <w:t xml:space="preserve">schemas/evidence_scenario_schema.json:     ef5315bf67fdf2844cac5b6a3a920853b64989324e18a5ee47fcd344f7de8aee</w:t>
      </w:r>
      <w:r>
        <w:br/>
      </w:r>
      <w:r>
        <w:rPr>
          <w:rStyle w:val="VerbatimChar"/>
        </w:rPr>
        <w:t xml:space="preserve">verifiers/v1_resolver.js:                  ea28afa89853cb024035ccaadb40470b9f054f65fef06500677ecbff2c7838ed</w:t>
      </w:r>
      <w:r>
        <w:br/>
      </w:r>
      <w:r>
        <w:rPr>
          <w:rStyle w:val="VerbatimChar"/>
        </w:rPr>
        <w:t xml:space="preserve">verifiers/v2_resolver.py:                  266585c27d0f3f2ae14e5a8b0cc339fa8045bb39d0c782703302d333302131f2</w:t>
      </w:r>
      <w:r>
        <w:br/>
      </w:r>
      <w:r>
        <w:rPr>
          <w:rStyle w:val="VerbatimChar"/>
        </w:rPr>
        <w:t xml:space="preserve">generator/scenario_generator.py:           ab82095e89b549585ac9b1923ff70b07c232ffbdab87ce1941655127e7efdc44</w:t>
      </w:r>
      <w:r>
        <w:br/>
      </w:r>
      <w:r>
        <w:rPr>
          <w:rStyle w:val="VerbatimChar"/>
        </w:rPr>
        <w:t xml:space="preserve">run_killgate.py:                           2ccd805021b714105041396e3623bc1e73e7580a6260ba1caa88fb213001ff9a</w:t>
      </w:r>
      <w:r>
        <w:br/>
      </w:r>
      <w:r>
        <w:rPr>
          <w:rStyle w:val="VerbatimChar"/>
        </w:rPr>
        <w:t xml:space="preserve">run_arms.py:                               bc3d893f3fcf69acff4ef688465248e90a12bd8434d920ae14150adc8419394e</w:t>
      </w:r>
    </w:p>
    <w:p>
      <w:pPr>
        <w:pStyle w:val="FirstParagraph"/>
      </w:pPr>
      <w:r>
        <w:rPr>
          <w:bCs/>
          <w:b/>
        </w:rPr>
        <w:t xml:space="preserve">Commits are not cryptographically signed.</w:t>
      </w:r>
      <w:r>
        <w:t xml:space="preserve"> </w:t>
      </w:r>
      <w:r>
        <w:t xml:space="preserve">Provenance = commit history + MANIFEST SHA-256 hashes. This is an experimental testbed, not a production security claim.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ARK-453 answers the question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Conflicting evidence must HOLD</w:t>
      </w:r>
      <w:r>
        <w:rPr>
          <w:bCs/>
          <w:b/>
        </w:rPr>
        <w:t xml:space="preserve">”</w:t>
      </w:r>
      <w:r>
        <w:t xml:space="preserve"> </w:t>
      </w:r>
      <w:r>
        <w:t xml:space="preserve">with a clear</w:t>
      </w:r>
      <w:r>
        <w:t xml:space="preserve"> </w:t>
      </w:r>
      <w:r>
        <w:rPr>
          <w:bCs/>
          <w:b/>
        </w:rPr>
        <w:t xml:space="preserve">YES</w:t>
      </w:r>
      <w:r>
        <w:t xml:space="preserve">:</w:t>
      </w:r>
      <w:r>
        <w:t xml:space="preserve"> </w:t>
      </w:r>
      <w:r>
        <w:t xml:space="preserve">- Consensus scenarios (all agree) → decisive ALLOW or DENY (100%)</w:t>
      </w:r>
      <w:r>
        <w:t xml:space="preserve"> </w:t>
      </w:r>
      <w:r>
        <w:t xml:space="preserve">- Conflict scenarios (sources disagree) → appropriate HOLD (100%)</w:t>
      </w:r>
      <w:r>
        <w:t xml:space="preserve"> </w:t>
      </w:r>
      <w:r>
        <w:t xml:space="preserve">- Ambiguous scenarios (missing data) → appropriate HOLD (100%)</w:t>
      </w:r>
      <w:r>
        <w:t xml:space="preserve"> </w:t>
      </w:r>
      <w:r>
        <w:t xml:space="preserve">- Dual independent implementations agree (100%)</w:t>
      </w:r>
    </w:p>
    <w:p>
      <w:pPr>
        <w:pStyle w:val="BodyText"/>
      </w:pPr>
      <w:r>
        <w:t xml:space="preserve">The three-state authorization model (ALLOW / HOLD / DENY) is validated as both implementable and necessary for responsible governance under uncertainty.</w:t>
      </w:r>
    </w:p>
    <w:p>
      <w:pPr>
        <w:pStyle w:val="BodyText"/>
      </w:pPr>
      <w:r>
        <w:rPr>
          <w:bCs/>
          <w:b/>
        </w:rPr>
        <w:t xml:space="preserve">Verdict stands as executed:</w:t>
      </w:r>
      <w:r>
        <w:t xml:space="preserve"> </w:t>
      </w:r>
      <w:r>
        <w:t xml:space="preserve">PASS.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Investigator:</w:t>
      </w:r>
      <w:r>
        <w:t xml:space="preserve"> </w:t>
      </w:r>
      <w:r>
        <w:t xml:space="preserve">Derek Hone, Remnant Fieldworks Inc.</w:t>
      </w:r>
      <w:r>
        <w:br/>
      </w:r>
      <w:r>
        <w:rPr>
          <w:bCs/>
          <w:b/>
        </w:rPr>
        <w:t xml:space="preserve">Executor:</w:t>
      </w:r>
      <w:r>
        <w:t xml:space="preserve"> </w:t>
      </w:r>
      <w:r>
        <w:t xml:space="preserve">Abacus.AI autonomous agent (supervised)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ExecutionProof™ authorization-boundary corpus</w:t>
      </w:r>
      <w:r>
        <w:br/>
      </w:r>
      <w:r>
        <w:rPr>
          <w:bCs/>
          <w:b/>
        </w:rPr>
        <w:t xml:space="preserve">Trademarks:</w:t>
      </w:r>
      <w:r>
        <w:t xml:space="preserve"> </w:t>
      </w:r>
      <w:r>
        <w:t xml:space="preserve">ExecutionProof™, ProofRecord™, VaultProof™, Verification Before Execution™, Proof Before Power™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If it cannot be verified, it cannot execute.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2026-07-17T19:39:06Z</dcterms:created>
  <dcterms:modified xsi:type="dcterms:W3CDTF">2026-07-17T19:39:06Z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