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emnant-fieldworks-inc.-master-summary"/>
    <w:p>
      <w:pPr>
        <w:pStyle w:val="Heading1"/>
      </w:pPr>
      <w:r>
        <w:t xml:space="preserve">Remnant Fieldworks Inc. — Master Summary</w:t>
      </w:r>
    </w:p>
    <w:bookmarkStart w:id="20" w:name="science-research-patents-trademarks"/>
    <w:p>
      <w:pPr>
        <w:pStyle w:val="Heading2"/>
      </w:pPr>
      <w:r>
        <w:t xml:space="preserve">Science Research · Patents · Trademarks</w:t>
      </w:r>
    </w:p>
    <w:p>
      <w:pPr>
        <w:pStyle w:val="FirstParagraph"/>
      </w:pPr>
      <w:r>
        <w:rPr>
          <w:bCs/>
          <w:b/>
        </w:rPr>
        <w:t xml:space="preserve">Prepared:</w:t>
      </w:r>
      <w:r>
        <w:t xml:space="preserve"> </w:t>
      </w:r>
      <w:r>
        <w:t xml:space="preserve">2026-07-18 ·</w:t>
      </w:r>
      <w:r>
        <w:t xml:space="preserve"> </w:t>
      </w:r>
      <w:r>
        <w:rPr>
          <w:bCs/>
          <w:b/>
        </w:rPr>
        <w:t xml:space="preserve">Maintained by:</w:t>
      </w:r>
      <w:r>
        <w:t xml:space="preserve"> </w:t>
      </w:r>
      <w:r>
        <w:t xml:space="preserve">Remnant Fieldworks Inc. ·</w:t>
      </w:r>
      <w:r>
        <w:t xml:space="preserve"> </w:t>
      </w:r>
      <w:r>
        <w:rPr>
          <w:bCs/>
          <w:b/>
        </w:rPr>
        <w:t xml:space="preserve">Sole inventor/author:</w:t>
      </w:r>
      <w:r>
        <w:t xml:space="preserve"> </w:t>
      </w:r>
      <w:r>
        <w:t xml:space="preserve">Derek Adam Hone</w:t>
      </w:r>
      <w:r>
        <w:t xml:space="preserve"> </w:t>
      </w:r>
      <w:r>
        <w:rPr>
          <w:bCs/>
          <w:b/>
        </w:rPr>
        <w:t xml:space="preserve">Team:</w:t>
      </w:r>
      <w:r>
        <w:t xml:space="preserve"> </w:t>
      </w:r>
      <w:r>
        <w:t xml:space="preserve">Derek Hone (Founder) + Adith Kadam Ramesh (Systems Engineer)</w:t>
      </w:r>
      <w:r>
        <w:t xml:space="preserve"> </w:t>
      </w:r>
      <w:r>
        <w:rPr>
          <w:bCs/>
          <w:b/>
        </w:rPr>
        <w:t xml:space="preserve">Contact:</w:t>
      </w:r>
      <w:r>
        <w:t xml:space="preserve"> </w:t>
      </w:r>
      <w:r>
        <w:t xml:space="preserve">derek@ownerremnantfieldworks.com</w:t>
      </w:r>
    </w:p>
    <w:p>
      <w:pPr>
        <w:pStyle w:val="BlockText"/>
      </w:pPr>
      <w:r>
        <w:rPr>
          <w:iCs/>
          <w:i/>
        </w:rPr>
        <w:t xml:space="preserve">Proof Before Power™ — built to a world-class standard, for Christ.</w:t>
      </w:r>
    </w:p>
    <w:p>
      <w:r>
        <w:pict>
          <v:rect style="width:0;height:1.5pt" o:hralign="center" o:hrstd="t" o:hr="t"/>
        </w:pict>
      </w:r>
    </w:p>
    <w:bookmarkEnd w:id="20"/>
    <w:bookmarkStart w:id="21" w:name="how-to-read-this-document"/>
    <w:p>
      <w:pPr>
        <w:pStyle w:val="Heading2"/>
      </w:pPr>
      <w:r>
        <w:t xml:space="preserve">0. How to read this document</w:t>
      </w:r>
    </w:p>
    <w:p>
      <w:pPr>
        <w:pStyle w:val="FirstParagraph"/>
      </w:pPr>
      <w:r>
        <w:t xml:space="preserve">This is the single reconciled record of everything Remnant Fieldworks (RF) has</w:t>
      </w:r>
      <w:r>
        <w:t xml:space="preserve"> </w:t>
      </w:r>
      <w:r>
        <w:rPr>
          <w:bCs/>
          <w:b/>
        </w:rPr>
        <w:t xml:space="preserve">proven</w:t>
      </w:r>
      <w:r>
        <w:t xml:space="preserve"> </w:t>
      </w:r>
      <w:r>
        <w:t xml:space="preserve">(science), everything RF has</w:t>
      </w:r>
      <w:r>
        <w:t xml:space="preserve"> </w:t>
      </w:r>
      <w:r>
        <w:rPr>
          <w:bCs/>
          <w:b/>
        </w:rPr>
        <w:t xml:space="preserve">filed to protect</w:t>
      </w:r>
      <w:r>
        <w:t xml:space="preserve"> </w:t>
      </w:r>
      <w:r>
        <w:t xml:space="preserve">(patents), and everything RF has</w:t>
      </w:r>
      <w:r>
        <w:t xml:space="preserve"> </w:t>
      </w:r>
      <w:r>
        <w:rPr>
          <w:bCs/>
          <w:b/>
        </w:rPr>
        <w:t xml:space="preserve">claimed as a mark</w:t>
      </w:r>
      <w:r>
        <w:t xml:space="preserve"> </w:t>
      </w:r>
      <w:r>
        <w:t xml:space="preserve">(trademarks). It is written to the RF Standing Covenant: claims are kept</w:t>
      </w:r>
      <w:r>
        <w:t xml:space="preserve"> </w:t>
      </w:r>
      <w:r>
        <w:rPr>
          <w:bCs/>
          <w:b/>
        </w:rPr>
        <w:t xml:space="preserve">narrower than the evidence</w:t>
      </w:r>
      <w:r>
        <w:t xml:space="preserve">, failures and gate-stops are</w:t>
      </w:r>
      <w:r>
        <w:t xml:space="preserve"> </w:t>
      </w:r>
      <w:r>
        <w:rPr>
          <w:bCs/>
          <w:b/>
        </w:rPr>
        <w:t xml:space="preserve">preserved honestly</w:t>
      </w:r>
      <w:r>
        <w:t xml:space="preserve">, and every experimental result is traceable to a public GitHub commit and a Zenodo DOI.</w:t>
      </w:r>
    </w:p>
    <w:p>
      <w:pPr>
        <w:pStyle w:val="BodyText"/>
      </w:pPr>
      <w:r>
        <w:t xml:space="preserve">Three reinforcing pillars govern the whole program:</w:t>
      </w:r>
    </w:p>
    <w:p>
      <w:pPr>
        <w:pStyle w:val="BlockText"/>
      </w:pPr>
      <w:r>
        <w:rPr>
          <w:bCs/>
          <w:b/>
        </w:rPr>
        <w:t xml:space="preserve">The experiments build evidence and credibility. The patents protect invention. The pilots prove customer value.</w:t>
      </w:r>
      <w:r>
        <w:t xml:space="preserve"> </w:t>
      </w:r>
      <w:r>
        <w:t xml:space="preserve">All three reinforce one another without overstating what any one establishes.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art-i-science-research"/>
    <w:p>
      <w:pPr>
        <w:pStyle w:val="Heading1"/>
      </w:pPr>
      <w:r>
        <w:t xml:space="preserve">PART I — SCIENCE RESEARCH</w:t>
      </w:r>
    </w:p>
    <w:p>
      <w:pPr>
        <w:pStyle w:val="FirstParagraph"/>
      </w:pPr>
      <w:r>
        <w:t xml:space="preserve">RF’s public scientific corpus spans</w:t>
      </w:r>
      <w:r>
        <w:t xml:space="preserve"> </w:t>
      </w:r>
      <w:r>
        <w:rPr>
          <w:bCs/>
          <w:b/>
        </w:rPr>
        <w:t xml:space="preserve">five research programs</w:t>
      </w:r>
      <w:r>
        <w:t xml:space="preserve">, all preregistered, executed, and published with raw-data provenance (GitHub + Zenodo DOI, CC BY 4.0).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ExecutionProof authorization boundary (Verification Before Execution)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hardware (441–448) + classical software (449–484)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experiment IDs, 52 records —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Quantum-sourced authorization nonces with verifiable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quantum hardware (</w:t>
            </w:r>
            <w:r>
              <w:rPr>
                <w:rStyle w:val="VerbatimChar"/>
              </w:rPr>
              <w:t xml:space="preserve">ibm_fez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experiments, 6 cases — complete +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BELLWETHER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Nonclassicality (Bell/Mermin/contextuality) witness bound into a nonce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quantum hardware (</w:t>
            </w:r>
            <w:r>
              <w:rPr>
                <w:rStyle w:val="VerbatimChar"/>
              </w:rPr>
              <w:t xml:space="preserve">ibm_fez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experiments — complete +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CHRONO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nonclassicality (Leggett–Garg) witness bound into a nonce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quantum hardware (</w:t>
            </w:r>
            <w:r>
              <w:rPr>
                <w:rStyle w:val="VerbatimChar"/>
              </w:rPr>
              <w:t xml:space="preserve">ibm_fez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experiment — complete +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UIP 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Foundational physics program (precursor)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Corpus totals (ARK + WITNESS, reconciled 2026-07-18):</w:t>
      </w:r>
      <w:r>
        <w:t xml:space="preserve"> </w:t>
      </w:r>
      <w:r>
        <w:t xml:space="preserve">52 case records across 30 experiment IDs →</w:t>
      </w:r>
      <w:r>
        <w:t xml:space="preserve"> </w:t>
      </w:r>
      <w:r>
        <w:rPr>
          <w:bCs/>
          <w:b/>
        </w:rPr>
        <w:t xml:space="preserve">49 PASS · 2 honest FAIL · 1 GATE-STOP</w:t>
      </w:r>
      <w:r>
        <w:t xml:space="preserve">,</w:t>
      </w:r>
      <w:r>
        <w:t xml:space="preserve"> </w:t>
      </w:r>
      <w:r>
        <w:rPr>
          <w:bCs/>
          <w:b/>
        </w:rPr>
        <w:t xml:space="preserve">48/48 Zenodo publications complete (100%)</w:t>
      </w:r>
      <w:r>
        <w:t xml:space="preserve">. The BELLWETHER (3) and CHRONO (1) quantum-witness experiments are additionally published (4 more DOIs).</w:t>
      </w:r>
    </w:p>
    <w:p>
      <w:r>
        <w:pict>
          <v:rect style="width:0;height:1.5pt" o:hralign="center" o:hrstd="t" o:hr="t"/>
        </w:pict>
      </w:r>
    </w:p>
    <w:bookmarkStart w:id="27" w:name="X1bccd5982962c216b089490b05dc30e98bc7018"/>
    <w:p>
      <w:pPr>
        <w:pStyle w:val="Heading2"/>
      </w:pPr>
      <w:r>
        <w:t xml:space="preserve">1. ARK Series — ExecutionProof Authorization Boundary</w:t>
      </w:r>
    </w:p>
    <w:p>
      <w:pPr>
        <w:pStyle w:val="FirstParagraph"/>
      </w:pPr>
      <w:r>
        <w:rPr>
          <w:bCs/>
          <w:b/>
        </w:rPr>
        <w:t xml:space="preserve">Core claim tested (VBE):</w:t>
      </w:r>
      <w:r>
        <w:t xml:space="preserve"> </w:t>
      </w:r>
      <w:r>
        <w:rPr>
          <w:iCs/>
          <w:i/>
        </w:rPr>
        <w:t xml:space="preserve">Permission at approval time is not permission at execution time.</w:t>
      </w:r>
      <w:r>
        <w:t xml:space="preserve"> </w:t>
      </w:r>
      <w:r>
        <w:t xml:space="preserve">Authorization must be re-verified against current state at the</w:t>
      </w:r>
      <w:r>
        <w:t xml:space="preserve"> </w:t>
      </w:r>
      <w:r>
        <w:rPr>
          <w:bCs/>
          <w:b/>
        </w:rPr>
        <w:t xml:space="preserve">moment of execution</w:t>
      </w:r>
      <w:r>
        <w:t xml:space="preserve">.</w:t>
      </w:r>
    </w:p>
    <w:bookmarkStart w:id="23" w:name="Xa57ff06e815cb904b1f6223135ef0c4040286ff"/>
    <w:p>
      <w:pPr>
        <w:pStyle w:val="Heading3"/>
      </w:pPr>
      <w:r>
        <w:t xml:space="preserve">1.1 Hardware Quantum ARKs (ARK-441–448) — 9 records</w:t>
      </w:r>
    </w:p>
    <w:p>
      <w:pPr>
        <w:pStyle w:val="FirstParagraph"/>
      </w:pPr>
      <w:r>
        <w:t xml:space="preserve">Backends: ARK-441</w:t>
      </w:r>
      <w:r>
        <w:t xml:space="preserve"> </w:t>
      </w:r>
      <w:r>
        <w:rPr>
          <w:rStyle w:val="VerbatimChar"/>
        </w:rPr>
        <w:t xml:space="preserve">ibm_kingston</w:t>
      </w:r>
      <w:r>
        <w:t xml:space="preserve">; ARK-442–448</w:t>
      </w:r>
      <w:r>
        <w:t xml:space="preserve"> </w:t>
      </w:r>
      <w:r>
        <w:rPr>
          <w:rStyle w:val="VerbatimChar"/>
        </w:rPr>
        <w:t xml:space="preserve">ibm_marrakesh</w:t>
      </w:r>
      <w:r>
        <w:t xml:space="preserve"> </w:t>
      </w:r>
      <w:r>
        <w:t xml:space="preserve">(all 156-qubit Heron r2).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VBE authorization boundary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10.5281/zenodo.21404867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/ expiry boundary (stale authority fails closed)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10.5281/zenodo.21404867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Two-of-three quorum (single compromised authorizer)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10.5281/zenodo.21404867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Decision-to-execution integrity (tampered action caught)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10.5281/zenodo.21404867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Tri-state ALLOW/HOLD/DENY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 (honest)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10.5281/zenodo.21404867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Reset-free re-test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10.5281/zenodo.21418404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Cross-device replication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10.5281/zenodo.21404867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Pauli twirling vs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10.5281/zenodo.21404867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Dynamical decoupling vs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 GATE-STOP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10.5281/zenodo.21404867</w:t>
            </w:r>
          </w:p>
        </w:tc>
      </w:tr>
    </w:tbl>
    <w:p>
      <w:pPr>
        <w:pStyle w:val="BodyText"/>
      </w:pPr>
      <w:r>
        <w:rPr>
          <w:iCs/>
          <w:i/>
        </w:rPr>
        <w:t xml:space="preserve">Honest-record note: ARK-446 has no MANIFEST.txt in the repo (only RESULTS.pdf + PREREGISTRATION.pdf were deposited). Preserved as-executed.</w:t>
      </w:r>
    </w:p>
    <w:bookmarkEnd w:id="23"/>
    <w:bookmarkStart w:id="24" w:name="Xb6f2bdd317e9fa088585509c3364664e8abe311"/>
    <w:p>
      <w:pPr>
        <w:pStyle w:val="Heading3"/>
      </w:pPr>
      <w:r>
        <w:t xml:space="preserve">1.2 Classical / Software ARKs, pre-P01 (ARK-449–457) — 10 records</w:t>
      </w:r>
    </w:p>
    <w:p>
      <w:pPr>
        <w:pStyle w:val="FirstParagraph"/>
      </w:pPr>
      <w:r>
        <w:t xml:space="preserve">Substrate: pure classical software.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change after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10.5281/zenodo.21406335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Verified-action substitution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10.5281/zenodo.21420310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revocation during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10.5281/zenodo.21419480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Multi-step workflow, one invalid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10.5281/zenodo.21406668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Conflicting evidence must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10.5281/zenodo.21419198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Self-approval &amp; circular delegation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10.5281/zenodo.21418935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ProofRecord tamper (dual-verifier)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 (honest)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10.5281/zenodo.21418388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ProofRecord tamper — corrected retest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10.5281/zenodo.21418404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Fail-closed dependency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10.5281/zenodo.21420107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Cross-context authorization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10.5281/zenodo.21421742</w:t>
            </w:r>
          </w:p>
        </w:tc>
      </w:tr>
    </w:tbl>
    <w:bookmarkEnd w:id="24"/>
    <w:bookmarkStart w:id="25" w:name="X1e99bc2b26286f2c30643c5d2276486c3d5ed67"/>
    <w:p>
      <w:pPr>
        <w:pStyle w:val="Heading3"/>
      </w:pPr>
      <w:r>
        <w:t xml:space="preserve">1.3 P01 Production-Boundary Series (ARK-458–482) — ✅ COMPLETE</w:t>
      </w:r>
    </w:p>
    <w:p>
      <w:pPr>
        <w:pStyle w:val="FirstParagraph"/>
      </w:pPr>
      <w:r>
        <w:rPr>
          <w:bCs/>
          <w:b/>
        </w:rPr>
        <w:t xml:space="preserve">25/25 experiments PASS.</w:t>
      </w:r>
      <w:r>
        <w:t xml:space="preserve"> </w:t>
      </w:r>
      <w:r>
        <w:t xml:space="preserve">Real, end-to-end authorization boundaries across 5 action domains × 5 failure modes. Dual independent guards (V1 JavaScript + V2 Python).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(action tuple)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DOIs (version)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IAM Role Grant</w:t>
            </w:r>
            <w:r>
              <w:t xml:space="preserve"> </w:t>
            </w:r>
            <w:r>
              <w:rPr>
                <w:rStyle w:val="VerbatimChar"/>
              </w:rPr>
              <w:t xml:space="preserve">(principal, role, resource_arn, account, grant_action)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458–462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21432645, 21432879, 21432883, 21432887, 21432889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Deployment</w:t>
            </w:r>
            <w:r>
              <w:t xml:space="preserve"> </w:t>
            </w:r>
            <w:r>
              <w:rPr>
                <w:rStyle w:val="VerbatimChar"/>
              </w:rPr>
              <w:t xml:space="preserve">(service, environment, version, deploy_type, approver)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463–467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21433070, 21433072, 21433074, 21433077, 21433081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 Destructive Query</w:t>
            </w:r>
            <w:r>
              <w:t xml:space="preserve"> </w:t>
            </w:r>
            <w:r>
              <w:rPr>
                <w:rStyle w:val="VerbatimChar"/>
              </w:rPr>
              <w:t xml:space="preserve">(database, table, operation, schema_ver, exec_mode)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468–472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21433449, 21433451, 21433453, 21433455, 21433457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Financial Transaction</w:t>
            </w:r>
            <w:r>
              <w:t xml:space="preserve"> </w:t>
            </w:r>
            <w:r>
              <w:rPr>
                <w:rStyle w:val="VerbatimChar"/>
              </w:rPr>
              <w:t xml:space="preserve">(from, to, amount, currency, txn_type)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473–477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21433459, 21433461, 21433463, 21433465, 21433469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Rate Limit</w:t>
            </w:r>
            <w:r>
              <w:t xml:space="preserve"> </w:t>
            </w:r>
            <w:r>
              <w:rPr>
                <w:rStyle w:val="VerbatimChar"/>
              </w:rPr>
              <w:t xml:space="preserve">(api_key, endpoint, rate_limit, window,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478–482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21433473, 21433476, 21433479, 21433483, 21433485</w:t>
            </w:r>
          </w:p>
        </w:tc>
      </w:tr>
    </w:tbl>
    <w:p>
      <w:pPr>
        <w:pStyle w:val="BodyText"/>
      </w:pPr>
      <w:r>
        <w:t xml:space="preserve">Each series tests the same 5 failure modes:</w:t>
      </w:r>
      <w:r>
        <w:t xml:space="preserve"> </w:t>
      </w:r>
      <w:r>
        <w:rPr>
          <w:bCs/>
          <w:b/>
        </w:rPr>
        <w:t xml:space="preserve">Exact-Action Binding · Revocation At Execution · Dependency Loss · Cross-Context Replay · Human Escalation.</w:t>
      </w:r>
    </w:p>
    <w:p>
      <w:pPr>
        <w:pStyle w:val="BodyText"/>
      </w:pPr>
      <w:r>
        <w:rPr>
          <w:bCs/>
          <w:b/>
        </w:rPr>
        <w:t xml:space="preserve">P01 aggregate metrics:</w:t>
      </w:r>
      <w:r>
        <w:t xml:space="preserve"> </w:t>
      </w:r>
      <w:r>
        <w:t xml:space="preserve">- Total decisions tested:</w:t>
      </w:r>
      <w:r>
        <w:t xml:space="preserve"> </w:t>
      </w:r>
      <w:r>
        <w:rPr>
          <w:bCs/>
          <w:b/>
        </w:rPr>
        <w:t xml:space="preserve">20,000</w:t>
      </w:r>
      <w:r>
        <w:t xml:space="preserve"> </w:t>
      </w:r>
      <w:r>
        <w:t xml:space="preserve">- Verdicts:</w:t>
      </w:r>
      <w:r>
        <w:t xml:space="preserve"> </w:t>
      </w:r>
      <w:r>
        <w:rPr>
          <w:bCs/>
          <w:b/>
        </w:rPr>
        <w:t xml:space="preserve">25 PASS (100%)</w:t>
      </w:r>
      <w:r>
        <w:t xml:space="preserve"> </w:t>
      </w:r>
      <w:r>
        <w:t xml:space="preserve">- Dual-guard concordance:</w:t>
      </w:r>
      <w:r>
        <w:t xml:space="preserve"> </w:t>
      </w:r>
      <w:r>
        <w:rPr>
          <w:bCs/>
          <w:b/>
        </w:rPr>
        <w:t xml:space="preserve">20,000 / 20,000 (100%)</w:t>
      </w:r>
      <w:r>
        <w:t xml:space="preserve"> </w:t>
      </w:r>
      <w:r>
        <w:t xml:space="preserve">- Kill-gate falsifiability:</w:t>
      </w:r>
      <w:r>
        <w:t xml:space="preserve"> </w:t>
      </w:r>
      <w:r>
        <w:rPr>
          <w:bCs/>
          <w:b/>
        </w:rPr>
        <w:t xml:space="preserve">5,306 / 5,306 wrong-allows detected (100%)</w:t>
      </w:r>
      <w:r>
        <w:t xml:space="preserve"> </w:t>
      </w:r>
      <w:r>
        <w:t xml:space="preserve">- All gate metrics met: g_allow = 1.0000, g_deny/hold_min = 1.0000, g_margin ≥ 0.9500</w:t>
      </w:r>
    </w:p>
    <w:bookmarkEnd w:id="25"/>
    <w:bookmarkStart w:id="26" w:name="X84767e0f8af091b462ab74e7eddc4a4ee70749c"/>
    <w:p>
      <w:pPr>
        <w:pStyle w:val="Heading3"/>
      </w:pPr>
      <w:r>
        <w:t xml:space="preserve">1.4 P02 Latency / Throughput Series (ARK-483–484) — 2/10 complete</w:t>
      </w:r>
    </w:p>
    <w:p>
      <w:pPr>
        <w:pStyle w:val="FirstParagraph"/>
      </w:pPr>
      <w:r>
        <w:t xml:space="preserve">CUT = frozen ARK-458 guard (unchanged).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decision —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worst-path p95</w:t>
            </w:r>
            <w:r>
              <w:t xml:space="preserve"> </w:t>
            </w:r>
            <w:r>
              <w:rPr>
                <w:bCs/>
                <w:b/>
              </w:rPr>
              <w:t xml:space="preserve">1.822 µs</w:t>
            </w:r>
            <w:r>
              <w:t xml:space="preserve"> </w:t>
            </w:r>
            <w:r>
              <w:t xml:space="preserve">(Py) /</w:t>
            </w:r>
            <w:r>
              <w:t xml:space="preserve"> </w:t>
            </w:r>
            <w:r>
              <w:rPr>
                <w:bCs/>
                <w:b/>
              </w:rPr>
              <w:t xml:space="preserve">0.652 µs</w:t>
            </w:r>
            <w:r>
              <w:t xml:space="preserve"> </w:t>
            </w:r>
            <w:r>
              <w:t xml:space="preserve">(JS); ceiling 1000 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10.5281/zenodo.21432647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decision — burst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1.66M dec/s</w:t>
            </w:r>
            <w:r>
              <w:t xml:space="preserve"> </w:t>
            </w:r>
            <w:r>
              <w:t xml:space="preserve">(Py, 16.6× pred) /</w:t>
            </w:r>
            <w:r>
              <w:t xml:space="preserve"> </w:t>
            </w:r>
            <w:r>
              <w:rPr>
                <w:bCs/>
                <w:b/>
              </w:rPr>
              <w:t xml:space="preserve">4.52M dec/s</w:t>
            </w:r>
            <w:r>
              <w:t xml:space="preserve"> </w:t>
            </w:r>
            <w:r>
              <w:t xml:space="preserve">(JS, 30.2× pred)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10.5281/zenodo.21433111</w:t>
            </w:r>
          </w:p>
        </w:tc>
      </w:tr>
    </w:tbl>
    <w:p>
      <w:pPr>
        <w:pStyle w:val="BodyText"/>
      </w:pPr>
      <w:r>
        <w:rPr>
          <w:iCs/>
          <w:i/>
        </w:rPr>
        <w:t xml:space="preserve">Honest finding: DENY is slower than ALLOW in both implementations (reason-string formatting dominates the tail, not comparison work). Disclosed.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342654f1fc9c8a4d0ed9bb0819daadacfacfb65"/>
    <w:p>
      <w:pPr>
        <w:pStyle w:val="Heading2"/>
      </w:pPr>
      <w:r>
        <w:t xml:space="preserve">2. WITNESS Series — Quantum-Sourced Authorization Nonces</w:t>
      </w:r>
    </w:p>
    <w:p>
      <w:pPr>
        <w:pStyle w:val="FirstParagraph"/>
      </w:pPr>
      <w:r>
        <w:t xml:space="preserve">Repo:</w:t>
      </w:r>
      <w:r>
        <w:t xml:space="preserve"> </w:t>
      </w:r>
      <w:r>
        <w:rPr>
          <w:rStyle w:val="VerbatimChar"/>
        </w:rPr>
        <w:t xml:space="preserve">github.com/derekhone/witness-testbeds</w:t>
      </w:r>
      <w:r>
        <w:t xml:space="preserve"> </w:t>
      </w:r>
      <w:r>
        <w:t xml:space="preserve">· Concept DOI 10.5281/zenodo.21424323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(version)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WITNESS-1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Quantum-sourced nonces with verifiable provenance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ibm_fez</w:t>
            </w:r>
            <w:r>
              <w:t xml:space="preserve"> </w:t>
            </w:r>
            <w:r>
              <w:t xml:space="preserve">(Heron r2), job</w:t>
            </w:r>
            <w:r>
              <w:t xml:space="preserve"> </w:t>
            </w:r>
            <w:r>
              <w:rPr>
                <w:rStyle w:val="VerbatimChar"/>
              </w:rPr>
              <w:t xml:space="preserve">d9dgp6kjeosc73fhigsg</w:t>
            </w:r>
            <w:r>
              <w:t xml:space="preserve">, 4000 shots, 256 unique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 PASS (honest verify · tamper detect · replay prevention)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10.5281/zenodo.21424324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WITNESS-2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Length-prefixed nonce with record-hash field integrity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ibm_fez</w:t>
            </w:r>
            <w:r>
              <w:t xml:space="preserve">, job</w:t>
            </w:r>
            <w:r>
              <w:t xml:space="preserve"> </w:t>
            </w:r>
            <w:r>
              <w:rPr>
                <w:rStyle w:val="VerbatimChar"/>
              </w:rPr>
              <w:t xml:space="preserve">d9di7nkinv1c73ap4ed0</w:t>
            </w:r>
            <w:r>
              <w:t xml:space="preserve">, 4000 shots, 256 unique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 PASS (9-check honest verify · 4/4 tamper · cross-context replay)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10.5281/zenodo.21425381</w:t>
            </w:r>
          </w:p>
        </w:tc>
      </w:tr>
    </w:tbl>
    <w:p>
      <w:pPr>
        <w:pStyle w:val="BodyText"/>
      </w:pPr>
      <w:r>
        <w:t xml:space="preserve">WITNESS-2</w:t>
      </w:r>
      <w:r>
        <w:t xml:space="preserve"> </w:t>
      </w:r>
      <w:r>
        <w:rPr>
          <w:rStyle w:val="VerbatimChar"/>
        </w:rPr>
        <w:t xml:space="preserve">quantum_nonce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e425dc92…659b</w:t>
      </w:r>
      <w:r>
        <w:t xml:space="preserve">;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271ff5ea…7ae1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dfe9927ff52f88ac2cab344341a42119ea23be6"/>
    <w:p>
      <w:pPr>
        <w:pStyle w:val="Heading2"/>
      </w:pPr>
      <w:r>
        <w:t xml:space="preserve">3. BELLWETHER Series — Nonclassicality Witness Bound Into a Nonce</w:t>
      </w:r>
    </w:p>
    <w:p>
      <w:pPr>
        <w:pStyle w:val="FirstParagraph"/>
      </w:pPr>
      <w:r>
        <w:t xml:space="preserve">Repo:</w:t>
      </w:r>
      <w:r>
        <w:t xml:space="preserve"> </w:t>
      </w:r>
      <w:r>
        <w:rPr>
          <w:rStyle w:val="VerbatimChar"/>
        </w:rPr>
        <w:t xml:space="preserve">github.com/derekhone/bellwether-testbeds</w:t>
      </w:r>
      <w:r>
        <w:t xml:space="preserve">. Physical nonclassicality (spatial/measurement) cryptographically bound into an authorization nonce/ProofRecord as a tamper-evident entropy witness.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(version)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BELLWETHER-1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Bipartite</w:t>
            </w:r>
            <w:r>
              <w:t xml:space="preserve"> </w:t>
            </w:r>
            <w:r>
              <w:rPr>
                <w:bCs/>
                <w:b/>
              </w:rPr>
              <w:t xml:space="preserve">CHSH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classical ≤2; Tsirelson 2.828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 = 2.514</w:t>
            </w:r>
            <w:r>
              <w:t xml:space="preserve"> </w:t>
            </w:r>
            <w:r>
              <w:t xml:space="preserve">(&gt;3σ)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ibm_fez</w:t>
            </w:r>
            <w:r>
              <w:t xml:space="preserve">, job</w:t>
            </w:r>
            <w:r>
              <w:t xml:space="preserve"> </w:t>
            </w:r>
            <w:r>
              <w:rPr>
                <w:rStyle w:val="VerbatimChar"/>
              </w:rPr>
              <w:t xml:space="preserve">d9dje2cjeosc73fhm230</w:t>
            </w:r>
            <w:r>
              <w:t xml:space="preserve">, 4000 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10.5281/zenodo.21430442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BELLWETHER-2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Multipartite</w:t>
            </w:r>
            <w:r>
              <w:t xml:space="preserve"> </w:t>
            </w:r>
            <w:r>
              <w:rPr>
                <w:bCs/>
                <w:b/>
              </w:rPr>
              <w:t xml:space="preserve">Mermin-3</w:t>
            </w:r>
            <w:r>
              <w:t xml:space="preserve"> </w:t>
            </w:r>
            <w:r>
              <w:t xml:space="preserve">(GHZ)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classical ≤2; quantum max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|M| = 3.423</w:t>
            </w:r>
            <w:r>
              <w:t xml:space="preserve"> </w:t>
            </w:r>
            <w:r>
              <w:t xml:space="preserve">(n_σ ≈ 61.6)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ibm_fez</w:t>
            </w:r>
            <w:r>
              <w:t xml:space="preserve">, job</w:t>
            </w:r>
            <w:r>
              <w:t xml:space="preserve"> </w:t>
            </w:r>
            <w:r>
              <w:rPr>
                <w:rStyle w:val="VerbatimChar"/>
              </w:rPr>
              <w:t xml:space="preserve">d9dno91htsac739da4d0</w:t>
            </w:r>
            <w:r>
              <w:t xml:space="preserve">, 8000 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10.5281/zenodo.21430446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BELLWETHER-3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State-independent</w:t>
            </w:r>
            <w:r>
              <w:t xml:space="preserve"> </w:t>
            </w:r>
            <w:r>
              <w:rPr>
                <w:bCs/>
                <w:b/>
              </w:rPr>
              <w:t xml:space="preserve">contextuality</w:t>
            </w:r>
            <w:r>
              <w:t xml:space="preserve"> </w:t>
            </w:r>
            <w:r>
              <w:t xml:space="preserve">(Peres–Mermin)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noncontextual ≤4; quantum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χ = 5.268–5.376</w:t>
            </w:r>
            <w:r>
              <w:t xml:space="preserve"> </w:t>
            </w:r>
            <w:r>
              <w:t xml:space="preserve">across 3 states (all &gt;4, all 3σ)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ibm_fez</w:t>
            </w:r>
            <w:r>
              <w:t xml:space="preserve">, job</w:t>
            </w:r>
            <w:r>
              <w:t xml:space="preserve"> </w:t>
            </w:r>
            <w:r>
              <w:rPr>
                <w:rStyle w:val="VerbatimChar"/>
              </w:rPr>
              <w:t xml:space="preserve">d9do1s1htsac739dahpg</w:t>
            </w:r>
            <w:r>
              <w:t xml:space="preserve">, 18000 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10.5281/zenodo.21430451</w:t>
            </w:r>
          </w:p>
        </w:tc>
      </w:tr>
    </w:tbl>
    <w:p>
      <w:pPr>
        <w:pStyle w:val="BodyText"/>
      </w:pPr>
      <w:r>
        <w:t xml:space="preserve">Authorization-model arc: BW1 bipartite → BW2 multipartite (unforgeable by any pair) → BW3 state-robust (holds regardless of preparation).</w:t>
      </w:r>
      <w:r>
        <w:t xml:space="preserve"> </w:t>
      </w:r>
      <w:r>
        <w:rPr>
          <w:bCs/>
          <w:b/>
        </w:rPr>
        <w:t xml:space="preserve">BW3 is the broadest / most patent-worthy</w:t>
      </w:r>
      <w:r>
        <w:t xml:space="preserve"> </w:t>
      </w:r>
      <w:r>
        <w:t xml:space="preserve">of the family (state-robust authorization).</w:t>
      </w:r>
    </w:p>
    <w:p>
      <w:r>
        <w:pict>
          <v:rect style="width:0;height:1.5pt" o:hralign="center" o:hrstd="t" o:hr="t"/>
        </w:pict>
      </w:r>
    </w:p>
    <w:bookmarkEnd w:id="29"/>
    <w:bookmarkStart w:id="30" w:name="Xf52a4e975e0edb43673b823bfd78d7a6ea59bb3"/>
    <w:p>
      <w:pPr>
        <w:pStyle w:val="Heading2"/>
      </w:pPr>
      <w:r>
        <w:t xml:space="preserve">4. CHRONO Series — Temporal Nonclassicality Witness</w:t>
      </w:r>
    </w:p>
    <w:p>
      <w:pPr>
        <w:pStyle w:val="FirstParagraph"/>
      </w:pPr>
      <w:r>
        <w:t xml:space="preserve">Repo:</w:t>
      </w:r>
      <w:r>
        <w:t xml:space="preserve"> </w:t>
      </w:r>
      <w:r>
        <w:rPr>
          <w:rStyle w:val="VerbatimChar"/>
        </w:rPr>
        <w:t xml:space="preserve">github.com/derekhone/chrono-testbeds</w:t>
      </w:r>
      <w:r>
        <w:t xml:space="preserve">. Three-time</w:t>
      </w:r>
      <w:r>
        <w:t xml:space="preserve"> </w:t>
      </w:r>
      <w:r>
        <w:rPr>
          <w:bCs/>
          <w:b/>
        </w:rPr>
        <w:t xml:space="preserve">Leggett–Garg</w:t>
      </w:r>
      <w:r>
        <w:t xml:space="preserve"> </w:t>
      </w:r>
      <w:r>
        <w:t xml:space="preserve">inequality K3 on a single qubit, bound into an authorization ProofRecord — maps directly to</w:t>
      </w:r>
      <w:r>
        <w:t xml:space="preserve"> </w:t>
      </w:r>
      <w:r>
        <w:t xml:space="preserve">“</w:t>
      </w:r>
      <w:r>
        <w:t xml:space="preserve">Verification Before Execution</w:t>
      </w:r>
      <w:r>
        <w:t xml:space="preserve">”</w:t>
      </w:r>
      <w:r>
        <w:t xml:space="preserve"> </w:t>
      </w:r>
      <w:r>
        <w:t xml:space="preserve">in the time dimension.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(version)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CHRONO-1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macrorealist K3 ≤ 1; quantum (Lüders) max 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K3 = 1.450</w:t>
            </w:r>
            <w:r>
              <w:t xml:space="preserve"> </w:t>
            </w:r>
            <w:r>
              <w:t xml:space="preserve">(&gt;3σ, 97% of ideal)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ibm_fez</w:t>
            </w:r>
            <w:r>
              <w:t xml:space="preserve">, job</w:t>
            </w:r>
            <w:r>
              <w:t xml:space="preserve"> </w:t>
            </w:r>
            <w:r>
              <w:rPr>
                <w:rStyle w:val="VerbatimChar"/>
              </w:rPr>
              <w:t xml:space="preserve">d9dkj6ineu4c739nddrg</w:t>
            </w:r>
            <w:r>
              <w:t xml:space="preserve">, 6000 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10.5281/zenodo.21430455</w:t>
            </w:r>
          </w:p>
        </w:tc>
      </w:tr>
    </w:tbl>
    <w:p>
      <w:pPr>
        <w:pStyle w:val="BodyText"/>
      </w:pPr>
      <w:r>
        <w:t xml:space="preserve">Together the quantum-witness programs span</w:t>
      </w:r>
      <w:r>
        <w:t xml:space="preserve"> </w:t>
      </w:r>
      <w:r>
        <w:rPr>
          <w:bCs/>
          <w:b/>
        </w:rPr>
        <w:t xml:space="preserve">all three nonclassicality families</w:t>
      </w:r>
      <w:r>
        <w:t xml:space="preserve">: nonlocality (BW1/BW2), contextuality (BW3), and temporality (CHRONO).</w:t>
      </w:r>
    </w:p>
    <w:p>
      <w:r>
        <w:pict>
          <v:rect style="width:0;height:1.5pt" o:hralign="center" o:hrstd="t" o:hr="t"/>
        </w:pict>
      </w:r>
    </w:p>
    <w:bookmarkEnd w:id="30"/>
    <w:bookmarkStart w:id="31" w:name="X6b55f9227fd1ac48af038fb5d0dac335071190e"/>
    <w:p>
      <w:pPr>
        <w:pStyle w:val="Heading2"/>
      </w:pPr>
      <w:r>
        <w:t xml:space="preserve">5. Scientific integrity boundary (carried into every artifact)</w:t>
      </w:r>
    </w:p>
    <w:p>
      <w:pPr>
        <w:numPr>
          <w:ilvl w:val="0"/>
          <w:numId w:val="1001"/>
        </w:numPr>
        <w:pStyle w:val="Compact"/>
      </w:pPr>
      <w:r>
        <w:t xml:space="preserve">Results apply to the</w:t>
      </w:r>
      <w:r>
        <w:t xml:space="preserve"> </w:t>
      </w:r>
      <w:r>
        <w:rPr>
          <w:bCs/>
          <w:b/>
        </w:rPr>
        <w:t xml:space="preserve">specific backends, qubit pairs, calibration snapshots, shot counts, and parameters</w:t>
      </w:r>
      <w:r>
        <w:t xml:space="preserve"> </w:t>
      </w:r>
      <w:r>
        <w:t xml:space="preserve">used.</w:t>
      </w:r>
    </w:p>
    <w:p>
      <w:pPr>
        <w:numPr>
          <w:ilvl w:val="0"/>
          <w:numId w:val="1001"/>
        </w:numPr>
        <w:pStyle w:val="Compact"/>
      </w:pPr>
      <w:r>
        <w:t xml:space="preserve">These are hardware noise-characterization studies and software-harness tests —</w:t>
      </w:r>
      <w:r>
        <w:t xml:space="preserve"> </w:t>
      </w:r>
      <w:r>
        <w:rPr>
          <w:bCs/>
          <w:b/>
        </w:rPr>
        <w:t xml:space="preserve">not cryptographic security proofs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Error</w:t>
      </w:r>
      <w:r>
        <w:t xml:space="preserve"> </w:t>
      </w:r>
      <w:r>
        <w:rPr>
          <w:bCs/>
          <w:b/>
        </w:rPr>
        <w:t xml:space="preserve">mitigation</w:t>
      </w:r>
      <w:r>
        <w:t xml:space="preserve"> </w:t>
      </w:r>
      <w:r>
        <w:t xml:space="preserve">is not error</w:t>
      </w:r>
      <w:r>
        <w:t xml:space="preserve"> </w:t>
      </w:r>
      <w:r>
        <w:rPr>
          <w:bCs/>
          <w:b/>
        </w:rPr>
        <w:t xml:space="preserve">correction</w:t>
      </w:r>
      <w:r>
        <w:t xml:space="preserve"> </w:t>
      </w:r>
      <w:r>
        <w:t xml:space="preserve">(no QEC).</w:t>
      </w:r>
    </w:p>
    <w:p>
      <w:pPr>
        <w:numPr>
          <w:ilvl w:val="0"/>
          <w:numId w:val="1001"/>
        </w:numPr>
        <w:pStyle w:val="Compact"/>
      </w:pPr>
      <w:r>
        <w:t xml:space="preserve">Quantum witnesses (BELLWETHER/CHRONO) are</w:t>
      </w:r>
      <w:r>
        <w:t xml:space="preserve"> </w:t>
      </w:r>
      <w:r>
        <w:rPr>
          <w:bCs/>
          <w:b/>
        </w:rPr>
        <w:t xml:space="preserve">device-dependent</w:t>
      </w:r>
      <w:r>
        <w:t xml:space="preserve">; locality, detection, compatibility, and clumsiness loopholes remain</w:t>
      </w:r>
      <w:r>
        <w:t xml:space="preserve"> </w:t>
      </w:r>
      <w:r>
        <w:rPr>
          <w:bCs/>
          <w:b/>
        </w:rPr>
        <w:t xml:space="preserve">open</w:t>
      </w:r>
      <w:r>
        <w:t xml:space="preserve">. Not loophole-free; not device-independent certified randomness.</w:t>
      </w:r>
    </w:p>
    <w:p>
      <w:pPr>
        <w:numPr>
          <w:ilvl w:val="0"/>
          <w:numId w:val="1001"/>
        </w:numPr>
        <w:pStyle w:val="Compact"/>
      </w:pPr>
      <w:r>
        <w:t xml:space="preserve">Honest FAILs (ARK-445, ARK-455) and the ARK-448 GATE-STOP</w:t>
      </w:r>
      <w:r>
        <w:t xml:space="preserve"> </w:t>
      </w:r>
      <w:r>
        <w:rPr>
          <w:bCs/>
          <w:b/>
        </w:rPr>
        <w:t xml:space="preserve">stand</w:t>
      </w:r>
      <w:r>
        <w:t xml:space="preserve"> </w:t>
      </w:r>
      <w:r>
        <w:t xml:space="preserve">alongside clean retests — that preserved record is itself the credibility asset.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part-ii-patents"/>
    <w:p>
      <w:pPr>
        <w:pStyle w:val="Heading1"/>
      </w:pPr>
      <w:r>
        <w:t xml:space="preserve">PART II — PATENTS</w:t>
      </w:r>
    </w:p>
    <w:p>
      <w:pPr>
        <w:pStyle w:val="FirstParagraph"/>
      </w:pPr>
      <w:r>
        <w:rPr>
          <w:bCs/>
          <w:b/>
        </w:rPr>
        <w:t xml:space="preserve">Portfolio scale (as of 2026-07-18): 56 USPTO filings.</w:t>
      </w:r>
      <w:r>
        <w:t xml:space="preserve"> </w:t>
      </w:r>
      <w:r>
        <w:t xml:space="preserve">Derek Adam Hone is</w:t>
      </w:r>
      <w:r>
        <w:t xml:space="preserve"> </w:t>
      </w:r>
      <w:r>
        <w:rPr>
          <w:bCs/>
          <w:b/>
        </w:rPr>
        <w:t xml:space="preserve">sole inventor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Nonprovisional utility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</w:t>
            </w:r>
            <w:r>
              <w:t xml:space="preserve"> </w:t>
            </w:r>
            <w:r>
              <w:rPr>
                <w:bCs/>
                <w:b/>
              </w:rPr>
              <w:t xml:space="preserve">19/529,283</w:t>
            </w:r>
            <w:r>
              <w:t xml:space="preserve"> </w:t>
            </w:r>
            <w:r>
              <w:t xml:space="preserve">(filed Feb 4, 2026) +</w:t>
            </w:r>
            <w:r>
              <w:t xml:space="preserve"> </w:t>
            </w:r>
            <w:r>
              <w:rPr>
                <w:bCs/>
                <w:b/>
              </w:rPr>
              <w:t xml:space="preserve">7 continuations-in-part</w:t>
            </w:r>
            <w:r>
              <w:t xml:space="preserve"> </w:t>
            </w:r>
            <w:r>
              <w:t xml:space="preserve">(filed Feb–Jul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Provisional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provisionals filed Jan 10–12, 2026 +</w:t>
            </w:r>
            <w:r>
              <w:t xml:space="preserve"> </w:t>
            </w:r>
            <w:r>
              <w:rPr>
                <w:bCs/>
                <w:b/>
              </w:rPr>
              <w:t xml:space="preserve">Commercial Gate 63/971,820</w:t>
            </w:r>
            <w:r>
              <w:t xml:space="preserve"> </w:t>
            </w:r>
            <w:r>
              <w:t xml:space="preserve">(Jan 30,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for the classical governance / crypto / authorization stack locked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any quantum publication</w:t>
            </w:r>
          </w:p>
        </w:tc>
      </w:tr>
    </w:tbl>
    <w:bookmarkStart w:id="33" w:name="X6b8ae6270bd469a74674acfa762cc4ee877c40f"/>
    <w:p>
      <w:pPr>
        <w:pStyle w:val="Heading3"/>
      </w:pPr>
      <w:r>
        <w:t xml:space="preserve">2.1 Named patent-family connections (evidence ↔ invention)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No-self-approval patent</w:t>
      </w:r>
      <w:r>
        <w:t xml:space="preserve"> </w:t>
      </w:r>
      <w:r>
        <w:t xml:space="preserve">— supported by the ARK-454 experimental design (self-approval, delegated, and circular delegation protection).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ProofRecord™ integrity</w:t>
      </w:r>
      <w:r>
        <w:t xml:space="preserve"> </w:t>
      </w:r>
      <w:r>
        <w:t xml:space="preserve">— ARK-455 / ARK-455b directly tested tamper-resistance of the machine-readable, independently verifiable decision record.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Three-state control model (ALLOW / HOLD / DENY)</w:t>
      </w:r>
      <w:r>
        <w:t xml:space="preserve"> </w:t>
      </w:r>
      <w:r>
        <w:t xml:space="preserve">— HOLD as a first-class conservative outcome, evidenced by ARK-445 / ARK-445b (HOLD metrologically separable from ALLOW and DENY).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Fail-closed dependency handling, exact-action binding, context binding</w:t>
      </w:r>
      <w:r>
        <w:t xml:space="preserve"> </w:t>
      </w:r>
      <w:r>
        <w:t xml:space="preserve">— evidenced across ARK-456, ARK-457, and the full P01 production series.</w:t>
      </w:r>
    </w:p>
    <w:bookmarkEnd w:id="33"/>
    <w:bookmarkStart w:id="34" w:name="Xaca5ed672d89d9ce54e7405f3f067bdfcbec283"/>
    <w:p>
      <w:pPr>
        <w:pStyle w:val="Heading3"/>
      </w:pPr>
      <w:r>
        <w:t xml:space="preserve">2.2 How experiments support the patent program (and the hard limit)</w:t>
      </w:r>
    </w:p>
    <w:p>
      <w:pPr>
        <w:pStyle w:val="FirstParagraph"/>
      </w:pPr>
      <w:r>
        <w:t xml:space="preserve">Experiments create</w:t>
      </w:r>
      <w:r>
        <w:t xml:space="preserve"> </w:t>
      </w:r>
      <w:r>
        <w:rPr>
          <w:bCs/>
          <w:b/>
        </w:rPr>
        <w:t xml:space="preserve">dated evidence that disclosed systems actually work</w:t>
      </w:r>
      <w:r>
        <w:t xml:space="preserve"> </w:t>
      </w:r>
      <w:r>
        <w:t xml:space="preserve">— mapping real implementations to existing claims, surfacing narrower dependent-claim opportunities, and distinguishing</w:t>
      </w:r>
      <w:r>
        <w:t xml:space="preserve"> </w:t>
      </w:r>
      <w:r>
        <w:rPr>
          <w:bCs/>
          <w:b/>
        </w:rPr>
        <w:t xml:space="preserve">working examples</w:t>
      </w:r>
      <w:r>
        <w:t xml:space="preserve"> </w:t>
      </w:r>
      <w:r>
        <w:t xml:space="preserve">from</w:t>
      </w:r>
      <w:r>
        <w:t xml:space="preserve"> </w:t>
      </w:r>
      <w:r>
        <w:rPr>
          <w:bCs/>
          <w:b/>
        </w:rPr>
        <w:t xml:space="preserve">prophetic examples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HARD LIMIT:</w:t>
      </w:r>
      <w:r>
        <w:t xml:space="preserve"> </w:t>
      </w:r>
      <w:r>
        <w:t xml:space="preserve">An experiment performed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filing</w:t>
      </w:r>
      <w:r>
        <w:t xml:space="preserve"> </w:t>
      </w:r>
      <w:r>
        <w:rPr>
          <w:bCs/>
          <w:b/>
        </w:rPr>
        <w:t xml:space="preserve">cannot repair missing disclosure or add new matter</w:t>
      </w:r>
      <w:r>
        <w:t xml:space="preserve"> </w:t>
      </w:r>
      <w:r>
        <w:t xml:space="preserve">to an existing application. New matter needs a</w:t>
      </w:r>
      <w:r>
        <w:t xml:space="preserve"> </w:t>
      </w:r>
      <w:r>
        <w:rPr>
          <w:bCs/>
          <w:b/>
        </w:rPr>
        <w:t xml:space="preserve">continuation-in-part or a new application</w:t>
      </w:r>
      <w:r>
        <w:t xml:space="preserve"> </w:t>
      </w:r>
      <w:r>
        <w:t xml:space="preserve">with its own later priority date. Actual results are always labeled</w:t>
      </w:r>
      <w:r>
        <w:t xml:space="preserve"> </w:t>
      </w:r>
      <w:r>
        <w:rPr>
          <w:bCs/>
          <w:b/>
        </w:rPr>
        <w:t xml:space="preserve">working examples</w:t>
      </w:r>
      <w:r>
        <w:t xml:space="preserve"> </w:t>
      </w:r>
      <w:r>
        <w:t xml:space="preserve">— never implied to have existed at an earlier filing date.</w:t>
      </w:r>
    </w:p>
    <w:bookmarkEnd w:id="34"/>
    <w:bookmarkStart w:id="35" w:name="X5d92c500e84e123176248ed61d475164209ebfc"/>
    <w:p>
      <w:pPr>
        <w:pStyle w:val="Heading3"/>
      </w:pPr>
      <w:r>
        <w:t xml:space="preserve">2.3 Quantum IP — 12-month defensive-publication posture</w:t>
      </w:r>
    </w:p>
    <w:p>
      <w:pPr>
        <w:pStyle w:val="FirstParagraph"/>
      </w:pPr>
      <w:r>
        <w:t xml:space="preserve">The classical stack is protected by the filed provisionals/nonprovisionals above (priority locked before any quantum disclosure). Because budget cannot afford additional filings right now, the quantum layer (</w:t>
      </w:r>
      <w:r>
        <w:rPr>
          <w:bCs/>
          <w:b/>
        </w:rPr>
        <w:t xml:space="preserve">WITNESS, BELLWETHER, CHRONO</w:t>
      </w:r>
      <w:r>
        <w:t xml:space="preserve">) switched to</w:t>
      </w:r>
      <w:r>
        <w:t xml:space="preserve"> </w:t>
      </w:r>
      <w:r>
        <w:rPr>
          <w:bCs/>
          <w:b/>
        </w:rPr>
        <w:t xml:space="preserve">defensive publication</w:t>
      </w:r>
      <w:r>
        <w:t xml:space="preserve">: a timestamped Zenodo DOI = prior art protecting freedom to operate, at zero cost.</w:t>
      </w:r>
    </w:p>
    <w:p>
      <w:pPr>
        <w:pStyle w:val="BlockText"/>
      </w:pPr>
      <w:r>
        <w:rPr>
          <w:bCs/>
          <w:b/>
        </w:rPr>
        <w:t xml:space="preserve">Doctrine: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File-first when we can; publish-to-protect when we can’t.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All quantum publications dated</w:t>
      </w:r>
      <w:r>
        <w:t xml:space="preserve"> </w:t>
      </w:r>
      <w:r>
        <w:rPr>
          <w:bCs/>
          <w:b/>
        </w:rPr>
        <w:t xml:space="preserve">2026-07-18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US grace-period deadline 2027-07-18</w:t>
      </w:r>
      <w:r>
        <w:t xml:space="preserve"> </w:t>
      </w:r>
      <w:r>
        <w:t xml:space="preserve">(practical cutoff ~2027-06-18). Ex-US rights are likely already barred by publication.</w:t>
      </w:r>
    </w:p>
    <w:p>
      <w:pPr>
        <w:numPr>
          <w:ilvl w:val="0"/>
          <w:numId w:val="1003"/>
        </w:numPr>
        <w:pStyle w:val="Compact"/>
      </w:pPr>
      <w:r>
        <w:t xml:space="preserve">If exactly one filing is made: a single</w:t>
      </w:r>
      <w:r>
        <w:t xml:space="preserve"> </w:t>
      </w:r>
      <w:r>
        <w:rPr>
          <w:bCs/>
          <w:b/>
        </w:rPr>
        <w:t xml:space="preserve">small-entity US provisional on the genus</w:t>
      </w:r>
      <w:r>
        <w:t xml:space="preserve"> </w:t>
      </w:r>
      <w:r>
        <w:t xml:space="preserve">(any-nonclassicality-witness-bound authorization nonce), with</w:t>
      </w:r>
      <w:r>
        <w:t xml:space="preserve"> </w:t>
      </w:r>
      <w:r>
        <w:rPr>
          <w:bCs/>
          <w:b/>
        </w:rPr>
        <w:t xml:space="preserve">BELLWETHER-3 (contextuality) as lead example</w:t>
      </w:r>
      <w:r>
        <w:t xml:space="preserve"> </w:t>
      </w:r>
      <w:r>
        <w:t xml:space="preserve">— the broadest, state-robust claim.</w:t>
      </w:r>
    </w:p>
    <w:p>
      <w:pPr>
        <w:numPr>
          <w:ilvl w:val="0"/>
          <w:numId w:val="1003"/>
        </w:numPr>
        <w:pStyle w:val="Compact"/>
      </w:pPr>
      <w:r>
        <w:t xml:space="preserve">This cannot be bolted onto 19/529,283 (would be new matter) — it needs its own provisional/CIP.</w:t>
      </w:r>
    </w:p>
    <w:p>
      <w:pPr>
        <w:numPr>
          <w:ilvl w:val="0"/>
          <w:numId w:val="1003"/>
        </w:numPr>
        <w:pStyle w:val="Compact"/>
      </w:pPr>
      <w:r>
        <w:t xml:space="preserve">Full tracking:</w:t>
      </w:r>
      <w:r>
        <w:t xml:space="preserve"> </w:t>
      </w:r>
      <w:r>
        <w:rPr>
          <w:rStyle w:val="VerbatimChar"/>
        </w:rPr>
        <w:t xml:space="preserve">RF-Quantum-IP-File-Within-12-Months-Ledger.md</w:t>
      </w:r>
      <w:r>
        <w:t xml:space="preserve"> </w:t>
      </w:r>
      <w:r>
        <w:t xml:space="preserve">(+ PDF/DOCX).</w:t>
      </w:r>
    </w:p>
    <w:bookmarkEnd w:id="35"/>
    <w:bookmarkStart w:id="36" w:name="X38dd2c904f13ab69a1ab82ac1f7b3fd21a3562a"/>
    <w:p>
      <w:pPr>
        <w:pStyle w:val="Heading3"/>
      </w:pPr>
      <w:r>
        <w:t xml:space="preserve">2.4 The IP Gate (run before every public disclosure)</w:t>
      </w:r>
    </w:p>
    <w:p>
      <w:pPr>
        <w:pStyle w:val="FirstParagraph"/>
      </w:pPr>
      <w:r>
        <w:t xml:space="preserve">Before anything goes to GitHub / Zenodo / LinkedIn / RF-100, each result must pass:</w:t>
      </w:r>
      <w:r>
        <w:t xml:space="preserve"> </w:t>
      </w:r>
      <w:r>
        <w:t xml:space="preserve">1. Does it merely demonstrate something</w:t>
      </w:r>
      <w:r>
        <w:t xml:space="preserve"> </w:t>
      </w:r>
      <w:r>
        <w:rPr>
          <w:bCs/>
          <w:b/>
        </w:rPr>
        <w:t xml:space="preserve">already disclosed</w:t>
      </w:r>
      <w:r>
        <w:t xml:space="preserve"> </w:t>
      </w:r>
      <w:r>
        <w:t xml:space="preserve">in a filed application? → safe to publish (working-example evidence).</w:t>
      </w:r>
      <w:r>
        <w:t xml:space="preserve"> </w:t>
      </w:r>
      <w:r>
        <w:t xml:space="preserve">2. Does it reveal an</w:t>
      </w:r>
      <w:r>
        <w:t xml:space="preserve"> </w:t>
      </w:r>
      <w:r>
        <w:rPr>
          <w:bCs/>
          <w:b/>
        </w:rPr>
        <w:t xml:space="preserve">improvement / new configuration / unexpected result</w:t>
      </w:r>
      <w:r>
        <w:t xml:space="preserve">? → potential new matter.</w:t>
      </w:r>
      <w:r>
        <w:t xml:space="preserve"> </w:t>
      </w:r>
      <w:r>
        <w:t xml:space="preserve">3. Is that improvement</w:t>
      </w:r>
      <w:r>
        <w:t xml:space="preserve"> </w:t>
      </w:r>
      <w:r>
        <w:rPr>
          <w:bCs/>
          <w:b/>
        </w:rPr>
        <w:t xml:space="preserve">already supported by a pending application</w:t>
      </w:r>
      <w:r>
        <w:t xml:space="preserve">? → if yes, publish; if no, treat as unprotected.</w:t>
      </w:r>
      <w:r>
        <w:t xml:space="preserve"> </w:t>
      </w:r>
      <w:r>
        <w:t xml:space="preserve">4. Should we</w:t>
      </w:r>
      <w:r>
        <w:t xml:space="preserve"> </w:t>
      </w:r>
      <w:r>
        <w:rPr>
          <w:bCs/>
          <w:b/>
        </w:rPr>
        <w:t xml:space="preserve">file before publishing</w:t>
      </w:r>
      <w:r>
        <w:t xml:space="preserve">? → if new matter,</w:t>
      </w:r>
      <w:r>
        <w:t xml:space="preserve"> </w:t>
      </w:r>
      <w:r>
        <w:rPr>
          <w:bCs/>
          <w:b/>
        </w:rPr>
        <w:t xml:space="preserve">YES</w:t>
      </w:r>
      <w:r>
        <w:t xml:space="preserve">.</w:t>
      </w:r>
      <w:r>
        <w:t xml:space="preserve"> </w:t>
      </w:r>
      <w:r>
        <w:t xml:space="preserve">5. Can we</w:t>
      </w:r>
      <w:r>
        <w:t xml:space="preserve"> </w:t>
      </w:r>
      <w:r>
        <w:rPr>
          <w:bCs/>
          <w:b/>
        </w:rPr>
        <w:t xml:space="preserve">publish the result while withholding unnecessary implementation details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art-iii-trademarks"/>
    <w:p>
      <w:pPr>
        <w:pStyle w:val="Heading1"/>
      </w:pPr>
      <w:r>
        <w:t xml:space="preserve">PART III — TRADEMARKS</w:t>
      </w:r>
    </w:p>
    <w:p>
      <w:pPr>
        <w:pStyle w:val="FirstParagraph"/>
      </w:pPr>
      <w:r>
        <w:rPr>
          <w:bCs/>
          <w:b/>
        </w:rPr>
        <w:t xml:space="preserve">Corrected, authoritative status (Derek, 2026-07-18):</w:t>
      </w:r>
      <w:r>
        <w:t xml:space="preserve"> </w:t>
      </w:r>
      <w:r>
        <w:t xml:space="preserve">five marks are the subject of</w:t>
      </w:r>
      <w:r>
        <w:t xml:space="preserve"> </w:t>
      </w:r>
      <w:r>
        <w:rPr>
          <w:bCs/>
          <w:b/>
        </w:rPr>
        <w:t xml:space="preserve">filed, pending federal trademark applications</w:t>
      </w:r>
      <w:r>
        <w:t xml:space="preserve"> </w:t>
      </w:r>
      <w:r>
        <w:t xml:space="preserve">with the USPTO. Use the ™ symbol;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imply registration (®) until the USPTO grants.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Remnant Fieldworks™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federal TM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ExecutionProof™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platform (VBE doctrine)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federal TM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Proof Before Power™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Doctrine / brand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federal TM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Verification Before Execution™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federal TM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ProofRecord™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Branded, machine-readable decision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federal TM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VaultProof™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Common-law mark only</w:t>
            </w:r>
            <w:r>
              <w:t xml:space="preserve"> </w:t>
            </w:r>
            <w:r>
              <w:t xml:space="preserve">— NOT a filed federal application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Language discipline:</w:t>
      </w:r>
      <w:r>
        <w:t xml:space="preserve"> </w:t>
      </w:r>
      <w:r>
        <w:t xml:space="preserve">describe the first five as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pending federal trademark applications</w:t>
      </w:r>
      <w:r>
        <w:rPr>
          <w:iCs/>
          <w:i/>
        </w:rPr>
        <w:t xml:space="preserve">”</w:t>
      </w:r>
      <w:r>
        <w:t xml:space="preserve"> </w:t>
      </w:r>
      <w:r>
        <w:t xml:space="preserve">with ™. For</w:t>
      </w:r>
      <w:r>
        <w:t xml:space="preserve"> </w:t>
      </w:r>
      <w:r>
        <w:rPr>
          <w:bCs/>
          <w:b/>
        </w:rPr>
        <w:t xml:space="preserve">VaultProof™</w:t>
      </w:r>
      <w:r>
        <w:t xml:space="preserve">, only ever claim</w:t>
      </w:r>
      <w:r>
        <w:t xml:space="preserve"> </w:t>
      </w:r>
      <w:r>
        <w:rPr>
          <w:bCs/>
          <w:b/>
        </w:rPr>
        <w:t xml:space="preserve">common-law</w:t>
      </w:r>
      <w:r>
        <w:t xml:space="preserve"> </w:t>
      </w:r>
      <w:r>
        <w:t xml:space="preserve">use — never write</w:t>
      </w:r>
      <w:r>
        <w:t xml:space="preserve"> </w:t>
      </w:r>
      <w:r>
        <w:t xml:space="preserve">“</w:t>
      </w:r>
      <w:r>
        <w:t xml:space="preserve">filed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registered ®</w:t>
      </w:r>
      <w:r>
        <w:t xml:space="preserve">”</w:t>
      </w:r>
      <w:r>
        <w:t xml:space="preserve"> </w:t>
      </w:r>
      <w:r>
        <w:t xml:space="preserve">until a separate filing is confirmed.</w:t>
      </w:r>
    </w:p>
    <w:p>
      <w:r>
        <w:pict>
          <v:rect style="width:0;height:1.5pt" o:hralign="center" o:hrstd="t" o:hr="t"/>
        </w:pict>
      </w:r>
    </w:p>
    <w:bookmarkEnd w:id="38"/>
    <w:bookmarkStart w:id="43" w:name="X6de83991b25b3f212d45fdb9f123272d619ff98"/>
    <w:p>
      <w:pPr>
        <w:pStyle w:val="Heading1"/>
      </w:pPr>
      <w:r>
        <w:t xml:space="preserve">PART IV — COMPANY ARCHITECTURE &amp; INFRASTRUCTURE</w:t>
      </w:r>
    </w:p>
    <w:bookmarkStart w:id="39" w:name="stable-architecture"/>
    <w:p>
      <w:pPr>
        <w:pStyle w:val="Heading3"/>
      </w:pPr>
      <w:r>
        <w:t xml:space="preserve">Stable architecture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Remnant Fieldworks™</w:t>
      </w:r>
      <w:r>
        <w:t xml:space="preserve"> </w:t>
      </w:r>
      <w:r>
        <w:t xml:space="preserve">— company (pending TM)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Proof Before Power™</w:t>
      </w:r>
      <w:r>
        <w:t xml:space="preserve"> </w:t>
      </w:r>
      <w:r>
        <w:t xml:space="preserve">— doctrine (pending TM)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Verification Before Execution™</w:t>
      </w:r>
      <w:r>
        <w:t xml:space="preserve"> </w:t>
      </w:r>
      <w:r>
        <w:t xml:space="preserve">— framework (pending TM)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ExecutionProof™</w:t>
      </w:r>
      <w:r>
        <w:t xml:space="preserve"> </w:t>
      </w:r>
      <w:r>
        <w:t xml:space="preserve">— commercial platform, proprietary (pending TM)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ProofRecord™</w:t>
      </w:r>
      <w:r>
        <w:t xml:space="preserve"> </w:t>
      </w:r>
      <w:r>
        <w:t xml:space="preserve">— branded artifact, proprietary (pending TM)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VaultProof™</w:t>
      </w:r>
      <w:r>
        <w:t xml:space="preserve"> </w:t>
      </w:r>
      <w:r>
        <w:t xml:space="preserve">— implementation layer (common-law)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RF-100</w:t>
      </w:r>
      <w:r>
        <w:t xml:space="preserve"> </w:t>
      </w:r>
      <w:r>
        <w:t xml:space="preserve">— implementation-neutral, publicly reviewable standard: https://conceptradar.notion.site/RF-100-4cf29f7e8ad84cddbe7dea7c4126e94c</w:t>
      </w:r>
    </w:p>
    <w:bookmarkEnd w:id="39"/>
    <w:bookmarkStart w:id="40" w:name="public-repositories"/>
    <w:p>
      <w:pPr>
        <w:pStyle w:val="Heading3"/>
      </w:pPr>
      <w:r>
        <w:t xml:space="preserve">Public repositories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executionproof-testbeds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ARK corpus (canonical)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Live, 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witness-testbeds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 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+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bellwether-testbeds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BELLWETHER 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+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chrono-testbeds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CHRONO-1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+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vaultproof-agent-guard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VaultProof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(PR #4 open)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uip-phase1-testbeds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UIP 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</w:t>
            </w:r>
          </w:p>
        </w:tc>
      </w:tr>
    </w:tbl>
    <w:bookmarkEnd w:id="40"/>
    <w:bookmarkStart w:id="41" w:name="concept-dois"/>
    <w:p>
      <w:pPr>
        <w:pStyle w:val="Heading3"/>
      </w:pPr>
      <w:r>
        <w:t xml:space="preserve">Concept DOIs</w:t>
      </w:r>
    </w:p>
    <w:p>
      <w:pPr>
        <w:numPr>
          <w:ilvl w:val="0"/>
          <w:numId w:val="1005"/>
        </w:numPr>
        <w:pStyle w:val="Compact"/>
      </w:pPr>
      <w:r>
        <w:t xml:space="preserve">ARK concept: 10.5281/zenodo.21398675</w:t>
      </w:r>
    </w:p>
    <w:p>
      <w:pPr>
        <w:numPr>
          <w:ilvl w:val="0"/>
          <w:numId w:val="1005"/>
        </w:numPr>
        <w:pStyle w:val="Compact"/>
      </w:pPr>
      <w:r>
        <w:t xml:space="preserve">WITNESS concept: 10.5281/zenodo.21424323</w:t>
      </w:r>
    </w:p>
    <w:p>
      <w:pPr>
        <w:numPr>
          <w:ilvl w:val="0"/>
          <w:numId w:val="1005"/>
        </w:numPr>
        <w:pStyle w:val="Compact"/>
      </w:pPr>
      <w:r>
        <w:t xml:space="preserve">BELLWETHER concept: 10.5281/zenodo.21430441 (BW1) / 21430445 (BW2) / 21430450 (BW3)</w:t>
      </w:r>
    </w:p>
    <w:p>
      <w:pPr>
        <w:numPr>
          <w:ilvl w:val="0"/>
          <w:numId w:val="1005"/>
        </w:numPr>
        <w:pStyle w:val="Compact"/>
      </w:pPr>
      <w:r>
        <w:t xml:space="preserve">CHRONO concept: 10.5281/zenodo.21430454</w:t>
      </w:r>
    </w:p>
    <w:bookmarkEnd w:id="41"/>
    <w:bookmarkStart w:id="42" w:name="provenance-model"/>
    <w:p>
      <w:pPr>
        <w:pStyle w:val="Heading3"/>
      </w:pPr>
      <w:r>
        <w:t xml:space="preserve">Provenance model</w:t>
      </w:r>
    </w:p>
    <w:p>
      <w:pPr>
        <w:pStyle w:val="FirstParagraph"/>
      </w:pPr>
      <w:r>
        <w:t xml:space="preserve">Commits are timestamped but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GPG/SSH-signed. Provenance = public commit history + MANIFEST SHA-256 preregistration locks + Zenodo DOIs. VaultProof app-layer ed25519 ProofRecord signatures are distinct from git commit signing.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art-v-consolidated-scoreboard"/>
    <w:p>
      <w:pPr>
        <w:pStyle w:val="Heading1"/>
      </w:pPr>
      <w:r>
        <w:t xml:space="preserve">PART V — CONSOLIDATED SCOREBOARD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GATE-STOP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 Hardware (441–448)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9/9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 Classical pre-P01 (449–457)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 P01 Production (458–482)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25/25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 P02 Latency (483–484)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WITNESS (1–2)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ARK+WITNESS subtotal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48/48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BELLWETHER (1–3)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CHRONO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GRAND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52/52 ✓</w:t>
            </w:r>
          </w:p>
        </w:tc>
      </w:tr>
    </w:tbl>
    <w:p>
      <w:pPr>
        <w:pStyle w:val="BodyText"/>
      </w:pPr>
      <w:r>
        <w:rPr>
          <w:bCs/>
          <w:b/>
        </w:rPr>
        <w:t xml:space="preserve">IP totals:</w:t>
      </w:r>
      <w:r>
        <w:t xml:space="preserve"> </w:t>
      </w:r>
      <w:r>
        <w:t xml:space="preserve">56 USPTO patent filings · 5 pending federal trademarks + 1 common-law mark.</w:t>
      </w:r>
    </w:p>
    <w:p>
      <w:r>
        <w:pict>
          <v:rect style="width:0;height:1.5pt" o:hralign="center" o:hrstd="t" o:hr="t"/>
        </w:pict>
      </w:r>
    </w:p>
    <w:bookmarkEnd w:id="44"/>
    <w:bookmarkStart w:id="46" w:name="part-vi-forward-roadmap-abbreviated"/>
    <w:p>
      <w:pPr>
        <w:pStyle w:val="Heading1"/>
      </w:pPr>
      <w:r>
        <w:t xml:space="preserve">PART VI — FORWARD ROADMAP (abbreviated)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500-experiment schema (ARK-458–957)</w:t>
      </w:r>
      <w:r>
        <w:t xml:space="preserve"> </w:t>
      </w:r>
      <w:r>
        <w:t xml:space="preserve">is a floor, not a ceiling — 10 priority groups (P01–P10), with new groups anticipated beyond P10.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P01 Production Boundary (458–482)</w:t>
      </w:r>
      <w:r>
        <w:t xml:space="preserve"> </w:t>
      </w:r>
      <w:r>
        <w:t xml:space="preserve">— ✅ COMPLETE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P02 Latency/Throughput (483–507)</w:t>
      </w:r>
      <w:r>
        <w:t xml:space="preserve"> </w:t>
      </w:r>
      <w:r>
        <w:t xml:space="preserve">— in progress (483–484 done); next ARK-485–492 (Verification-Decision throughput/cost + Authority Engine)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P03 Reliability/Failure Modes (508–532)</w:t>
      </w:r>
      <w:r>
        <w:t xml:space="preserve"> </w:t>
      </w:r>
      <w:r>
        <w:t xml:space="preserve">— next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P04–P10</w:t>
      </w:r>
      <w:r>
        <w:t xml:space="preserve"> </w:t>
      </w:r>
      <w:r>
        <w:t xml:space="preserve">— ProofRecord &amp; crypto, identity/delegation, evidence policy, AI-agent tool-use, treasury/financial, VaultProof/digital-asset, cloud control-plane</w:t>
      </w:r>
    </w:p>
    <w:p>
      <w:pPr>
        <w:pStyle w:val="FirstParagraph"/>
      </w:pPr>
      <w:r>
        <w:rPr>
          <w:bCs/>
          <w:b/>
        </w:rPr>
        <w:t xml:space="preserve">Operating rhythm:</w:t>
      </w:r>
      <w:r>
        <w:t xml:space="preserve"> </w:t>
      </w:r>
      <w:r>
        <w:t xml:space="preserve">~1 meaningful, honestly-published experiment per week + 10–20 targeted commercial conversations.</w:t>
      </w:r>
      <w:r>
        <w:t xml:space="preserve"> </w:t>
      </w:r>
      <w:r>
        <w:rPr>
          <w:bCs/>
          <w:b/>
        </w:rPr>
        <w:t xml:space="preserve">70/30 rule:</w:t>
      </w:r>
      <w:r>
        <w:t xml:space="preserve"> </w:t>
      </w:r>
      <w:r>
        <w:t xml:space="preserve">70% pilot acquisition &amp; delivery, 30% experimentation supporting customers, product, standards, or IP.</w:t>
      </w:r>
    </w:p>
    <w:p>
      <w:r>
        <w:pict>
          <v:rect style="width:0;height:1.5pt" o:hralign="center" o:hrstd="t" o:hr="t"/>
        </w:pict>
      </w:r>
    </w:p>
    <w:bookmarkStart w:id="45" w:name="stewardship-signal"/>
    <w:p>
      <w:pPr>
        <w:pStyle w:val="Heading2"/>
      </w:pPr>
      <w:r>
        <w:t xml:space="preserve">Stewardship signal</w:t>
      </w:r>
    </w:p>
    <w:p>
      <w:pPr>
        <w:pStyle w:val="FirstParagraph"/>
      </w:pPr>
      <w:r>
        <w:t xml:space="preserve">Strength lies in the preservation of failures, honored gates, corrected language, the clean separation of open standard from proprietary product, and a fully challengeable public record. The next faithful move is patience, security, truthfulness, company protection, and one narrow service act proving the boundary protects a real organization.</w:t>
      </w:r>
    </w:p>
    <w:p>
      <w:pPr>
        <w:pStyle w:val="BlockText"/>
      </w:pPr>
      <w:r>
        <w:rPr>
          <w:iCs/>
          <w:i/>
        </w:rPr>
        <w:t xml:space="preserve">Soli Deo Gloria — world-class work, offered for Christ.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summary reconciles the RF Master Corpus Scoreboard, Infrastructure Record, Strategic Doctrine, Synthetic-Phase Closure, and the BELLWETHER/CHRONO quantum-witness records as of 2026-07-18. Claims are held narrower than the evidence. All experimental outcomes — PASS, FAIL, HOLD, and GATE-STOP — are preserved honestly.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2026-07-18T20:50:17Z</dcterms:created>
  <dcterms:modified xsi:type="dcterms:W3CDTF">2026-07-18T20:50:17Z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