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ublication-batch-ark-493-ark-498-series"/>
    <w:p>
      <w:pPr>
        <w:pStyle w:val="Heading1"/>
      </w:pPr>
      <w:r>
        <w:t xml:space="preserve">Publication Batch — ARK-493 → ARK-498 Series</w:t>
      </w:r>
    </w:p>
    <w:p>
      <w:pPr>
        <w:pStyle w:val="FirstParagraph"/>
      </w:pPr>
      <w:r>
        <w:rPr>
          <w:bCs/>
          <w:b/>
        </w:rPr>
        <w:t xml:space="preserve">Prepared for:</w:t>
      </w:r>
      <w:r>
        <w:t xml:space="preserve"> </w:t>
      </w:r>
      <w:r>
        <w:t xml:space="preserve">Remnant Fieldworks Inc. — ExecutionProof program</w:t>
      </w:r>
      <w:r>
        <w:t xml:space="preserve"> </w:t>
      </w:r>
      <w:r>
        <w:rPr>
          <w:bCs/>
          <w:b/>
        </w:rPr>
        <w:t xml:space="preserve">Source of truth:</w:t>
      </w:r>
      <w:r>
        <w:t xml:space="preserve"> </w:t>
      </w:r>
      <w:r>
        <w:t xml:space="preserve">this series’ run artifacts (</w:t>
      </w:r>
      <w:r>
        <w:rPr>
          <w:rStyle w:val="VerbatimChar"/>
        </w:rPr>
        <w:t xml:space="preserve">results/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proofrecords/</w:t>
      </w:r>
      <w:r>
        <w:t xml:space="preserve">,</w:t>
      </w:r>
      <w:r>
        <w:t xml:space="preserve"> </w:t>
      </w:r>
      <w:r>
        <w:rPr>
          <w:rStyle w:val="VerbatimChar"/>
        </w:rPr>
        <w:t xml:space="preserve">ledgers/</w:t>
      </w:r>
      <w:r>
        <w:t xml:space="preserve">) + reconciled corpus totals in</w:t>
      </w:r>
      <w:r>
        <w:t xml:space="preserve"> </w:t>
      </w:r>
      <w:r>
        <w:rPr>
          <w:rStyle w:val="VerbatimChar"/>
        </w:rPr>
        <w:t xml:space="preserve">reconciliation_report.md</w:t>
      </w:r>
      <w:r>
        <w:t xml:space="preserve"> </w:t>
      </w:r>
      <w:r>
        <w:rPr>
          <w:bCs/>
          <w:b/>
        </w:rPr>
        <w:t xml:space="preserve">Framing rule:</w:t>
      </w:r>
      <w:r>
        <w:t xml:space="preserve"> </w:t>
      </w:r>
      <w:r>
        <w:t xml:space="preserve">every public number below is the</w:t>
      </w:r>
      <w:r>
        <w:t xml:space="preserve"> </w:t>
      </w:r>
      <w:r>
        <w:rPr>
          <w:bCs/>
          <w:b/>
        </w:rPr>
        <w:t xml:space="preserve">reconciled post-series total</w:t>
      </w:r>
      <w:r>
        <w:t xml:space="preserve">; negative results (FAIL, GATE-STOP) are reported, not suppressed.</w:t>
      </w:r>
      <w:r>
        <w:t xml:space="preserve"> </w:t>
      </w:r>
      <w:r>
        <w:rPr>
          <w:bCs/>
          <w:b/>
        </w:rPr>
        <w:t xml:space="preserve">Repository count (corrected):</w:t>
      </w:r>
      <w:r>
        <w:t xml:space="preserve"> </w:t>
      </w:r>
      <w:r>
        <w:t xml:space="preserve">this series was published as the</w:t>
      </w:r>
      <w:r>
        <w:t xml:space="preserve"> </w:t>
      </w:r>
      <w:r>
        <w:rPr>
          <w:rStyle w:val="VerbatimChar"/>
        </w:rPr>
        <w:t xml:space="preserve">ark-493-498/</w:t>
      </w:r>
      <w:r>
        <w:t xml:space="preserve"> </w:t>
      </w:r>
      <w:r>
        <w:t xml:space="preserve">subdirectory of the existing</w:t>
      </w:r>
      <w:r>
        <w:t xml:space="preserve"> </w:t>
      </w:r>
      <w:r>
        <w:rPr>
          <w:rStyle w:val="VerbatimChar"/>
        </w:rPr>
        <w:t xml:space="preserve">executionproof-testbeds</w:t>
      </w:r>
      <w:r>
        <w:t xml:space="preserve"> </w:t>
      </w:r>
      <w:r>
        <w:t xml:space="preserve">repository — it creates</w:t>
      </w:r>
      <w:r>
        <w:t xml:space="preserve"> </w:t>
      </w:r>
      <w:r>
        <w:rPr>
          <w:bCs/>
          <w:b/>
        </w:rPr>
        <w:t xml:space="preserve">no new repository</w:t>
      </w:r>
      <w:r>
        <w:t xml:space="preserve">, so the repository total stays</w:t>
      </w:r>
      <w:r>
        <w:t xml:space="preserve"> </w:t>
      </w:r>
      <w:r>
        <w:rPr>
          <w:bCs/>
          <w:b/>
        </w:rPr>
        <w:t xml:space="preserve">9</w:t>
      </w:r>
      <w:r>
        <w:t xml:space="preserve"> </w:t>
      </w:r>
      <w:r>
        <w:t xml:space="preserve">(not 10).</w:t>
      </w:r>
    </w:p>
    <w:p>
      <w:pPr>
        <w:pStyle w:val="BodyText"/>
      </w:pPr>
      <w:r>
        <w:rPr>
          <w:bCs/>
          <w:b/>
        </w:rPr>
        <w:t xml:space="preserve">Reconciled public headline numbers (use everywhere):</w:t>
      </w:r>
      <w:r>
        <w:t xml:space="preserve"> </w:t>
      </w:r>
      <w:r>
        <w:rPr>
          <w:bCs/>
          <w:b/>
        </w:rPr>
        <w:t xml:space="preserve">72 preregistered experiments · 232 case records · 229 PASS · 2 FAIL · 1 GATE-STOP · 9 repositories.</w:t>
      </w:r>
      <w:r>
        <w:t xml:space="preserve"> </w:t>
      </w:r>
      <w:r>
        <w:t xml:space="preserve">This series (ARK-493–498) contributed 6 experiments and 161 scored cases, all PASS, with 0 new FAIL and 0 GATE-STOP.</w:t>
      </w:r>
    </w:p>
    <w:p>
      <w:r>
        <w:pict>
          <v:rect style="width:0;height:1.5pt" o:hralign="center" o:hrstd="t" o:hr="t"/>
        </w:pict>
      </w:r>
    </w:p>
    <w:bookmarkStart w:id="20" w:name="github-readme-text-drop-in-section"/>
    <w:p>
      <w:pPr>
        <w:pStyle w:val="Heading2"/>
      </w:pPr>
      <w:r>
        <w:t xml:space="preserve">1. GitHub README text (drop-in section)</w:t>
      </w:r>
    </w:p>
    <w:p>
      <w:pPr>
        <w:pStyle w:val="SourceCode"/>
      </w:pPr>
      <w:r>
        <w:rPr>
          <w:rStyle w:val="FunctionTok"/>
        </w:rPr>
        <w:t xml:space="preserve">## ExecutionProof — Enterprise Agent Boundary Testbed (ARK-493 → ARK-498)</w:t>
      </w:r>
      <w:r>
        <w:br/>
      </w:r>
      <w:r>
        <w:br/>
      </w:r>
      <w:r>
        <w:rPr>
          <w:rStyle w:val="NormalTok"/>
        </w:rPr>
        <w:t xml:space="preserve">ExecutionProof enforces **proof before power**: an autonomous agent's tool call</w:t>
      </w:r>
      <w:r>
        <w:br/>
      </w:r>
      <w:r>
        <w:rPr>
          <w:rStyle w:val="NormalTok"/>
        </w:rPr>
        <w:t xml:space="preserve">executes only after an independent gate has verified actor identity, live</w:t>
      </w:r>
      <w:r>
        <w:br/>
      </w:r>
      <w:r>
        <w:rPr>
          <w:rStyle w:val="NormalTok"/>
        </w:rPr>
        <w:t xml:space="preserve">authority, evidence, policy version, system state, and exact-action integrity —</w:t>
      </w:r>
      <w:r>
        <w:br/>
      </w:r>
      <w:r>
        <w:rPr>
          <w:rStyle w:val="NormalTok"/>
        </w:rPr>
        <w:t xml:space="preserve">and every decision is written to a signed, hash-chained, independently</w:t>
      </w:r>
      <w:r>
        <w:br/>
      </w:r>
      <w:r>
        <w:rPr>
          <w:rStyle w:val="NormalTok"/>
        </w:rPr>
        <w:t xml:space="preserve">reconstructable ProofRecord. Fail-closed is the default; failures are preserved,</w:t>
      </w:r>
      <w:r>
        <w:br/>
      </w:r>
      <w:r>
        <w:rPr>
          <w:rStyle w:val="NormalTok"/>
        </w:rPr>
        <w:t xml:space="preserve">never retried until they pass.</w:t>
      </w:r>
      <w:r>
        <w:br/>
      </w:r>
      <w:r>
        <w:br/>
      </w:r>
      <w:r>
        <w:rPr>
          <w:rStyle w:val="FunctionTok"/>
        </w:rPr>
        <w:t xml:space="preserve">### This series at a glance (frozen preregistration v1.1)</w:t>
      </w:r>
      <w:r>
        <w:br/>
      </w:r>
      <w:r>
        <w:br/>
      </w:r>
      <w:r>
        <w:rPr>
          <w:rStyle w:val="NormalTok"/>
        </w:rPr>
        <w:t xml:space="preserve">| Experiment | Focus | Result |</w:t>
      </w:r>
      <w:r>
        <w:br/>
      </w:r>
      <w:r>
        <w:rPr>
          <w:rStyle w:val="NormalTok"/>
        </w:rPr>
        <w:t xml:space="preserve">|-----------|-------|--------|</w:t>
      </w:r>
      <w:r>
        <w:br/>
      </w:r>
      <w:r>
        <w:rPr>
          <w:rStyle w:val="NormalTok"/>
        </w:rPr>
        <w:t xml:space="preserve">| ARK-493 | Enforcement boundary under adversarial load (6 paths × 15 cells) | PASS — 90/90 |</w:t>
      </w:r>
      <w:r>
        <w:br/>
      </w:r>
      <w:r>
        <w:rPr>
          <w:rStyle w:val="NormalTok"/>
        </w:rPr>
        <w:t xml:space="preserve">| ARK-494 | Semantic boundary: deep argument mutation | PASS — 13/13 |</w:t>
      </w:r>
      <w:r>
        <w:br/>
      </w:r>
      <w:r>
        <w:rPr>
          <w:rStyle w:val="NormalTok"/>
        </w:rPr>
        <w:t xml:space="preserve">| ARK-495 | Temporal boundary: authority change mid-flight | PASS — 11/11 |</w:t>
      </w:r>
      <w:r>
        <w:br/>
      </w:r>
      <w:r>
        <w:rPr>
          <w:rStyle w:val="NormalTok"/>
        </w:rPr>
        <w:t xml:space="preserve">| ARK-496 | Multi-agent delegation &amp; self-approval defense | PASS — 8/8 |</w:t>
      </w:r>
      <w:r>
        <w:br/>
      </w:r>
      <w:r>
        <w:rPr>
          <w:rStyle w:val="NormalTok"/>
        </w:rPr>
        <w:t xml:space="preserve">| ARK-497 | Independently reconstructable ProofRecord (+ tamper detection) | PASS — 30/30 |</w:t>
      </w:r>
      <w:r>
        <w:br/>
      </w:r>
      <w:r>
        <w:rPr>
          <w:rStyle w:val="NormalTok"/>
        </w:rPr>
        <w:t xml:space="preserve">| ARK-498 | Networked production-like performance | PASS — 6/6 hard criteria |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**161 scored cases this series, 161 PASS, 0 FAIL, 0 enforcement leaks.**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**Dual-guard verification:** an in-process Guard-A and an *isolated-subprocess*</w:t>
      </w:r>
      <w:r>
        <w:br/>
      </w:r>
      <w:r>
        <w:rPr>
          <w:rStyle w:val="NormalTok"/>
        </w:rPr>
        <w:t xml:space="preserve">  Guard-B independently verified all 161 scored records and agreed on every one.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**ARK-497:** an isolated verifier (permitted imports only, statically proven to</w:t>
      </w:r>
      <w:r>
        <w:br/>
      </w:r>
      <w:r>
        <w:rPr>
          <w:rStyle w:val="NormalTok"/>
        </w:rPr>
        <w:t xml:space="preserve">  import nothing from the application) reconstructed all 9 decision elements for</w:t>
      </w:r>
      <w:r>
        <w:br/>
      </w:r>
      <w:r>
        <w:rPr>
          <w:rStyle w:val="NormalTok"/>
        </w:rPr>
        <w:t xml:space="preserve">  20 legitimate records and detected **10/10** single-field tamper attempts with</w:t>
      </w:r>
      <w:r>
        <w:br/>
      </w:r>
      <w:r>
        <w:rPr>
          <w:rStyle w:val="NormalTok"/>
        </w:rPr>
        <w:t xml:space="preserve">  **0** false positives.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**ARK-498:** behind a real HTTP/loopback-TCP boundary (~1,810 requests), the</w:t>
      </w:r>
      <w:r>
        <w:br/>
      </w:r>
      <w:r>
        <w:rPr>
          <w:rStyle w:val="NormalTok"/>
        </w:rPr>
        <w:t xml:space="preserve">  gate held fail-closed under policy/authority/store failure (**leak count 0**),</w:t>
      </w:r>
      <w:r>
        <w:br/>
      </w:r>
      <w:r>
        <w:rPr>
          <w:rStyle w:val="NormalTok"/>
        </w:rPr>
        <w:t xml:space="preserve">  executed **zero** duplicate side effects, produced **100%** complete and</w:t>
      </w:r>
      <w:r>
        <w:br/>
      </w:r>
      <w:r>
        <w:rPr>
          <w:rStyle w:val="NormalTok"/>
        </w:rPr>
        <w:t xml:space="preserve">  signature-verifiable ProofRecords, and recovered cleanly with **no** automatic</w:t>
      </w:r>
      <w:r>
        <w:br/>
      </w:r>
      <w:r>
        <w:rPr>
          <w:rStyle w:val="NormalTok"/>
        </w:rPr>
        <w:t xml:space="preserve">  re-execution of denied requests.</w:t>
      </w:r>
      <w:r>
        <w:br/>
      </w:r>
      <w:r>
        <w:br/>
      </w:r>
      <w:r>
        <w:rPr>
          <w:rStyle w:val="FunctionTok"/>
        </w:rPr>
        <w:t xml:space="preserve">### Standing corpus (reconciled, all series to date)</w:t>
      </w:r>
      <w:r>
        <w:br/>
      </w:r>
      <w:r>
        <w:br/>
      </w:r>
      <w:r>
        <w:rPr>
          <w:rStyle w:val="NormalTok"/>
        </w:rPr>
        <w:t xml:space="preserve">**72 preregistered experiments · 232 case records · 229 PASS · 2 FAIL ·</w:t>
      </w:r>
      <w:r>
        <w:br/>
      </w:r>
      <w:r>
        <w:rPr>
          <w:rStyle w:val="NormalTok"/>
        </w:rPr>
        <w:t xml:space="preserve">1 GATE-STOP · 9 repositories.** The 2 FAIL and 1 GATE-STOP records are retained</w:t>
      </w:r>
      <w:r>
        <w:br/>
      </w:r>
      <w:r>
        <w:rPr>
          <w:rStyle w:val="NormalTok"/>
        </w:rPr>
        <w:t xml:space="preserve">unchanged — preserving negative results is part of the methodology.</w:t>
      </w:r>
      <w:r>
        <w:br/>
      </w:r>
      <w:r>
        <w:br/>
      </w:r>
      <w:r>
        <w:rPr>
          <w:rStyle w:val="FunctionTok"/>
        </w:rPr>
        <w:t xml:space="preserve">### Reproduce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run_all.py     </w:t>
      </w:r>
      <w:r>
        <w:rPr>
          <w:rStyle w:val="CommentTok"/>
        </w:rPr>
        <w:t xml:space="preserve"># verifies the frozen preregistration hash, then runs 493→498</w:t>
      </w:r>
    </w:p>
    <w:p>
      <w:pPr>
        <w:pStyle w:val="FirstParagraph"/>
      </w:pPr>
      <w:r>
        <w:t xml:space="preserve">Preregistration:</w:t>
      </w:r>
      <w:r>
        <w:t xml:space="preserve"> </w:t>
      </w:r>
      <w:r>
        <w:rPr>
          <w:rStyle w:val="VerbatimChar"/>
        </w:rPr>
        <w:t xml:space="preserve">preregistration/ARK-493-498-PREREGISTRATION-v1.1.md</w:t>
      </w:r>
      <w:r>
        <w:t xml:space="preserve"> </w:t>
      </w:r>
      <w:r>
        <w:t xml:space="preserve">SHA-256</w:t>
      </w:r>
      <w:r>
        <w:t xml:space="preserve"> </w:t>
      </w:r>
      <w:r>
        <w:rPr>
          <w:rStyle w:val="VerbatimChar"/>
        </w:rPr>
        <w:t xml:space="preserve">464b9fb8be9d6cca052f236dc9deec9f8e89b781cafc58701e79b2d05d52952a</w:t>
      </w:r>
      <w:r>
        <w:t xml:space="preserve">.</w:t>
      </w:r>
      <w:r>
        <w:t xml:space="preserve"> </w:t>
      </w:r>
      <w:r>
        <w:t xml:space="preserve">```</w:t>
      </w:r>
    </w:p>
    <w:p>
      <w:pPr>
        <w:pStyle w:val="BlockText"/>
      </w:pPr>
      <w:r>
        <w:rPr>
          <w:bCs/>
          <w:b/>
        </w:rPr>
        <w:t xml:space="preserve">Performance note for the README/badge:</w:t>
      </w:r>
      <w:r>
        <w:t xml:space="preserve"> </w:t>
      </w:r>
      <w:r>
        <w:t xml:space="preserve">ARK-498 latency/throughput figures</w:t>
      </w:r>
      <w:r>
        <w:t xml:space="preserve"> </w:t>
      </w:r>
      <w:r>
        <w:t xml:space="preserve">are labeled</w:t>
      </w:r>
      <w:r>
        <w:t xml:space="preserve"> </w:t>
      </w:r>
      <w:r>
        <w:rPr>
          <w:iCs/>
          <w:i/>
        </w:rPr>
        <w:t xml:space="preserve">PRODUCTION-LIKE OVERHEAD CHARACTERIZATION · NOT A BENCHMARK</w:t>
      </w:r>
      <w:r>
        <w:rPr>
          <w:iCs/>
          <w:i/>
        </w:rPr>
        <w:t xml:space="preserve"> </w:t>
      </w:r>
      <w:r>
        <w:rPr>
          <w:iCs/>
          <w:i/>
        </w:rPr>
        <w:t xml:space="preserve">CERTIFICATION · NOT A PRODUCTION SLA</w:t>
      </w:r>
      <w:r>
        <w:t xml:space="preserve">. Do not publish them as an SLA.</w:t>
      </w:r>
    </w:p>
    <w:p>
      <w:r>
        <w:pict>
          <v:rect style="width:0;height:1.5pt" o:hralign="center" o:hrstd="t" o:hr="t"/>
        </w:pict>
      </w:r>
    </w:p>
    <w:bookmarkEnd w:id="20"/>
    <w:bookmarkStart w:id="21" w:name="zenodo-deposition-draft"/>
    <w:p>
      <w:pPr>
        <w:pStyle w:val="Heading2"/>
      </w:pPr>
      <w:r>
        <w:t xml:space="preserve">2. Zenodo deposition draft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ExecutionProof Enterprise Agent Boundary Testbed — ARK-493 through ARK-498 (Frozen Preregistration v1.1)</w:t>
      </w:r>
    </w:p>
    <w:p>
      <w:pPr>
        <w:pStyle w:val="BodyText"/>
      </w:pPr>
      <w:r>
        <w:rPr>
          <w:bCs/>
          <w:b/>
        </w:rPr>
        <w:t xml:space="preserve">Authors:</w:t>
      </w:r>
      <w:r>
        <w:t xml:space="preserve"> </w:t>
      </w:r>
      <w:r>
        <w:t xml:space="preserve">Remnant Fieldworks Inc., ExecutionProof Program</w:t>
      </w:r>
    </w:p>
    <w:p>
      <w:pPr>
        <w:pStyle w:val="Body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 (series ARK-493–498)</w:t>
      </w:r>
    </w:p>
    <w:p>
      <w:pPr>
        <w:pStyle w:val="BodyText"/>
      </w:pPr>
      <w:r>
        <w:rPr>
          <w:bCs/>
          <w:b/>
        </w:rPr>
        <w:t xml:space="preserve">Resource type:</w:t>
      </w:r>
      <w:r>
        <w:t xml:space="preserve"> </w:t>
      </w:r>
      <w:r>
        <w:t xml:space="preserve">Software / Dataset (preregistered experiment suite + evidence artifacts)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&gt; This deposition contains the frozen preregistration (v1.1), the complete testbed source, and the full evidence artifacts for six preregistered experiments (ARK-493 through ARK-498) characterizing the enforcement boundary of the ExecutionProof agent-authorization gate. The gate verifies six dimensions (actor identity, live authority, evidence, policy version, system state, exact-action integrity) and emits ALLOW / DENY / HOLD, recording every decision in a signed, hash-chained, independently reconstructable ProofRecord.</w:t>
      </w:r>
      <w:r>
        <w:t xml:space="preserve"> </w:t>
      </w:r>
      <w:r>
        <w:t xml:space="preserve">&gt;</w:t>
      </w:r>
      <w:r>
        <w:t xml:space="preserve"> </w:t>
      </w:r>
      <w:r>
        <w:t xml:space="preserve">&gt; Results (single reproducible run, preregistration hash verified at execution): 161 scored cases, 161 PASS, 0 FAIL, 0 enforcement leaks; dual-guard (in-process + isolated-subprocess) agreement on all 161 records. ARK-497 demonstrates independent reconstruction of all nine decision elements and 10/10 single-field tamper detection with zero false positives by a verifier statically proven to import nothing from the application. ARK-498 characterizes production-like overhead behind a real HTTP/loopback-TCP boundary (~1,810 requests) and meets all six frozen hard criteria: fail-closed leak count 0, zero duplicate executions, 100% ProofRecord completeness, clean error accounting, recovery with no automatic re-execution of denied requests, and 100% independent signature verification.</w:t>
      </w:r>
      <w:r>
        <w:t xml:space="preserve"> </w:t>
      </w:r>
      <w:r>
        <w:t xml:space="preserve">&gt;</w:t>
      </w:r>
      <w:r>
        <w:t xml:space="preserve"> </w:t>
      </w:r>
      <w:r>
        <w:t xml:space="preserve">&gt; Latency/throughput data are explicitly published as</w:t>
      </w:r>
      <w:r>
        <w:t xml:space="preserve"> </w:t>
      </w:r>
      <w:r>
        <w:rPr>
          <w:iCs/>
          <w:i/>
        </w:rPr>
        <w:t xml:space="preserve">production-like overhead characterization</w:t>
      </w:r>
      <w:r>
        <w:t xml:space="preserve">, not a benchmark certification and not a production SLA, and must not be compared to the prior in-process microsecond testbed (ARK-483–492).</w:t>
      </w:r>
      <w:r>
        <w:t xml:space="preserve"> </w:t>
      </w:r>
      <w:r>
        <w:t xml:space="preserve">&gt;</w:t>
      </w:r>
      <w:r>
        <w:t xml:space="preserve"> </w:t>
      </w:r>
      <w:r>
        <w:t xml:space="preserve">&gt; Standing reconciled corpus across all series to date: 72 preregistered experiments, 232 case records, 229 PASS, 2 FAIL, 1 GATE-STOP, across 9 repositories. Negative results (FAIL, GATE-STOP) are retained unchanged.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AI agent safety, authorization gate, fail-closed enforcement, proof-carrying decisions, hash chain, ed25519, tamper detection, preregistration, reproducibility</w:t>
      </w:r>
    </w:p>
    <w:p>
      <w:pPr>
        <w:pStyle w:val="BodyText"/>
      </w:pPr>
      <w:r>
        <w:rPr>
          <w:bCs/>
          <w:b/>
        </w:rPr>
        <w:t xml:space="preserve">License:</w:t>
      </w:r>
      <w:r>
        <w:t xml:space="preserve"> </w:t>
      </w:r>
      <w:r>
        <w:t xml:space="preserve">as per program policy (to be confirmed at deposition).</w:t>
      </w:r>
    </w:p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preregistration/</w:t>
      </w:r>
      <w:r>
        <w:t xml:space="preserve">, testbed source tree,</w:t>
      </w:r>
      <w:r>
        <w:t xml:space="preserve"> </w:t>
      </w:r>
      <w:r>
        <w:rPr>
          <w:rStyle w:val="VerbatimChar"/>
        </w:rPr>
        <w:t xml:space="preserve">proofrecords/proofrecord_chain.jsonl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ledgers/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(results ledger, reconciliation report, ARK-498 performance report, execution manifest, verifier outputs).</w:t>
      </w:r>
    </w:p>
    <w:p>
      <w:pPr>
        <w:pStyle w:val="BodyText"/>
      </w:pPr>
      <w:r>
        <w:rPr>
          <w:bCs/>
          <w:b/>
        </w:rPr>
        <w:t xml:space="preserve">Related identifiers:</w:t>
      </w:r>
      <w:r>
        <w:t xml:space="preserve"> </w:t>
      </w:r>
      <w:r>
        <w:t xml:space="preserve">supersedes preregistration v1.0 (SHA-256</w:t>
      </w:r>
      <w:r>
        <w:t xml:space="preserve"> </w:t>
      </w:r>
      <w:r>
        <w:rPr>
          <w:rStyle w:val="VerbatimChar"/>
        </w:rPr>
        <w:t xml:space="preserve">deb9c43ee252ecd9cb217788f783ebf6fd7113883170749fedaa1509425406ce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4" w:name="X1e035fcaddf08e0f8855027fcb2ee61cbc9bf66"/>
    <w:p>
      <w:pPr>
        <w:pStyle w:val="Heading2"/>
      </w:pPr>
      <w:r>
        <w:t xml:space="preserve">3. Evidence-page update (executionproof.io / builderexecutionproof.io)</w:t>
      </w:r>
    </w:p>
    <w:p>
      <w:pPr>
        <w:pStyle w:val="FirstParagraph"/>
      </w:pPr>
      <w:r>
        <w:t xml:space="preserve">Replace the standing evidence summary block on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executionproof.io and builderexecutionproof.io with:</w:t>
      </w:r>
    </w:p>
    <w:p>
      <w:pPr>
        <w:pStyle w:val="Heading3"/>
      </w:pPr>
      <w:bookmarkStart w:id="22" w:name="X0a5c519f6d8252abf9130214e4bc828cc3b50b5"/>
      <w:r>
        <w:t xml:space="preserve">Evidence corpus (updated — ARK-493 → ARK-498 series added)</w:t>
      </w:r>
      <w:bookmarkEnd w:id="22"/>
    </w:p>
    <w:p>
      <w:pPr>
        <w:pStyle w:val="BlockText"/>
      </w:pPr>
      <w:r>
        <w:rPr>
          <w:bCs/>
          <w:b/>
        </w:rPr>
        <w:t xml:space="preserve">72 preregistered experiments · 232 case records · 229 PASS · 2 FAIL · 1 GATE-STOP · 9 repositories.</w:t>
      </w:r>
    </w:p>
    <w:p>
      <w:pPr>
        <w:pStyle w:val="BlockText"/>
      </w:pPr>
      <w:r>
        <w:t xml:space="preserve">The latest series (ARK-493–498) added six experiments and 161 scored cases, all PASS, with zero enforcement leaks and independent dual-guard verification on every record. The 2 FAIL and 1 GATE-STOP records from prior series are retained unchanged — we publish negative results because preserving them is what makes the corpus trustworthy.</w:t>
      </w:r>
    </w:p>
    <w:p>
      <w:pPr>
        <w:pStyle w:val="BlockText"/>
      </w:pPr>
      <w:r>
        <w:t xml:space="preserve">Highlights: independent tamper detection 10/10 with 0 false positives (ARK-497); fail-closed under dependency loss with leak count 0 and 100% independently signature-verifiable proofs in a production-like networked run (ARK-498). ARK-498 latency/throughput figures are published as production-like overhead characterization —</w:t>
      </w:r>
      <w:r>
        <w:t xml:space="preserve"> </w:t>
      </w:r>
      <w:r>
        <w:rPr>
          <w:bCs/>
          <w:b/>
        </w:rPr>
        <w:t xml:space="preserve">not a benchmark certification and not a production SLA.</w:t>
      </w:r>
    </w:p>
    <w:p>
      <w:pPr>
        <w:pStyle w:val="Heading4"/>
      </w:pPr>
      <w:bookmarkStart w:id="23" w:name="intellectual-property-status-corrected"/>
      <w:r>
        <w:t xml:space="preserve">Intellectual-property status (corrected)</w:t>
      </w:r>
      <w:bookmarkEnd w:id="23"/>
    </w:p>
    <w:p>
      <w:pPr>
        <w:pStyle w:val="BlockText"/>
      </w:pPr>
      <w:r>
        <w:t xml:space="preserve">ExecutionProof is covered by</w:t>
      </w:r>
      <w:r>
        <w:t xml:space="preserve"> </w:t>
      </w:r>
      <w:r>
        <w:rPr>
          <w:bCs/>
          <w:b/>
        </w:rPr>
        <w:t xml:space="preserve">48 provisional patent applications (filed January 2026) and 8 pending nonprovisional utility applications — 56 total USPTO filings.</w:t>
      </w:r>
    </w:p>
    <w:p>
      <w:pPr>
        <w:pStyle w:val="FirstParagraph"/>
      </w:pPr>
      <w:r>
        <w:rPr>
          <w:bCs/>
          <w:b/>
        </w:rPr>
        <w:t xml:space="preserve">Patent-line correction note (for the site editor):</w:t>
      </w:r>
      <w:r>
        <w:t xml:space="preserve"> </w:t>
      </w:r>
      <w:r>
        <w:t xml:space="preserve">the prior evidence page understated the filing count. The correct, current line — to appear on both executionproof.io and builderexecutionproof.io — is exactly:</w:t>
      </w:r>
    </w:p>
    <w:p>
      <w:pPr>
        <w:pStyle w:val="BlockText"/>
      </w:pPr>
      <w:r>
        <w:rPr>
          <w:iCs/>
          <w:i/>
        </w:rPr>
        <w:t xml:space="preserve">48 provisional applications (filed Jan 2026) and 8 pending nonprovisional utility applications = 56 total USPTO filings.</w:t>
      </w:r>
    </w:p>
    <w:p>
      <w:r>
        <w:pict>
          <v:rect style="width:0;height:1.5pt" o:hralign="center" o:hrstd="t" o:hr="t"/>
        </w:pict>
      </w:r>
    </w:p>
    <w:bookmarkEnd w:id="24"/>
    <w:bookmarkStart w:id="25" w:name="consistency-checklist-before-publishing"/>
    <w:p>
      <w:pPr>
        <w:pStyle w:val="Heading2"/>
      </w:pPr>
      <w:r>
        <w:t xml:space="preserve">4. Consistency checklist before publishing</w:t>
      </w:r>
    </w:p>
    <w:p>
      <w:pPr>
        <w:numPr>
          <w:ilvl w:val="0"/>
          <w:numId w:val="1001"/>
        </w:numPr>
        <w:pStyle w:val="Compact"/>
      </w:pPr>
      <w:r>
        <w:t xml:space="preserve">☒ Public headline uses reconciled</w:t>
      </w:r>
      <w:r>
        <w:t xml:space="preserve"> </w:t>
      </w:r>
      <w:r>
        <w:rPr>
          <w:bCs/>
          <w:b/>
        </w:rPr>
        <w:t xml:space="preserve">post-series</w:t>
      </w:r>
      <w:r>
        <w:t xml:space="preserve"> </w:t>
      </w:r>
      <w:r>
        <w:t xml:space="preserve">totals (72 / 232 / 229 / 2 / 1 / 9), not this-series-only numbers.</w:t>
      </w:r>
    </w:p>
    <w:p>
      <w:pPr>
        <w:numPr>
          <w:ilvl w:val="0"/>
          <w:numId w:val="1001"/>
        </w:numPr>
        <w:pStyle w:val="Compact"/>
      </w:pPr>
      <w:r>
        <w:t xml:space="preserve">☒ FAIL (2) and GATE-STOP (1) reported, not hidden.</w:t>
      </w:r>
    </w:p>
    <w:p>
      <w:pPr>
        <w:numPr>
          <w:ilvl w:val="0"/>
          <w:numId w:val="1001"/>
        </w:numPr>
        <w:pStyle w:val="Compact"/>
      </w:pPr>
      <w:r>
        <w:t xml:space="preserve">☒ ARK-498 performance carries the mandatory characterization label and no SLA claim.</w:t>
      </w:r>
    </w:p>
    <w:p>
      <w:pPr>
        <w:numPr>
          <w:ilvl w:val="0"/>
          <w:numId w:val="1001"/>
        </w:numPr>
        <w:pStyle w:val="Compact"/>
      </w:pPr>
      <w:r>
        <w:t xml:space="preserve">☒ No comparison drawn to ARK-483–492 microsecond testbed.</w:t>
      </w:r>
    </w:p>
    <w:p>
      <w:pPr>
        <w:numPr>
          <w:ilvl w:val="0"/>
          <w:numId w:val="1001"/>
        </w:numPr>
        <w:pStyle w:val="Compact"/>
      </w:pPr>
      <w:r>
        <w:t xml:space="preserve">☒ Patent line corrected to</w:t>
      </w:r>
      <w:r>
        <w:t xml:space="preserve"> </w:t>
      </w:r>
      <w:r>
        <w:rPr>
          <w:bCs/>
          <w:b/>
        </w:rPr>
        <w:t xml:space="preserve">56 total USPTO filings (48 provisional filed Jan 2026 + 8 pending nonprovisional utility)</w:t>
      </w:r>
      <w:r>
        <w:t xml:space="preserve"> </w:t>
      </w:r>
      <w:r>
        <w:t xml:space="preserve">on both domains.</w:t>
      </w:r>
    </w:p>
    <w:p>
      <w:pPr>
        <w:numPr>
          <w:ilvl w:val="0"/>
          <w:numId w:val="1001"/>
        </w:numPr>
        <w:pStyle w:val="Compact"/>
      </w:pPr>
      <w:r>
        <w:t xml:space="preserve">☒ Preregistration SHA-256 cited and verified at run time.</w:t>
      </w:r>
    </w:p>
    <w:p>
      <w:pPr>
        <w:numPr>
          <w:ilvl w:val="0"/>
          <w:numId w:val="1001"/>
        </w:numPr>
        <w:pStyle w:val="Compact"/>
      </w:pPr>
      <w:r>
        <w:t xml:space="preserve">☒ Every claimed number traces to a run artifact under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proofrecords/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ledgers/</w:t>
      </w:r>
      <w:r>
        <w:t xml:space="preserve">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2026-07-20T18:34:25Z</dcterms:created>
  <dcterms:modified xsi:type="dcterms:W3CDTF">2026-07-20T18:34:25Z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