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7488b6f13a30f8eb21b57317f3f0f09808ace58"/>
    <w:p>
      <w:pPr>
        <w:pStyle w:val="Heading1"/>
      </w:pPr>
      <w:r>
        <w:t xml:space="preserve">ARK-487 — Authority Engine · Cold Start Latency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PREREGISTRATION (locked before execution)</w:t>
      </w:r>
      <w:r>
        <w:t xml:space="preserve"> </w:t>
      </w:r>
      <w:r>
        <w:rPr>
          <w:bCs/>
          <w:b/>
        </w:rPr>
        <w:t xml:space="preserve">Experiment Date: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P02 Latency/Throughput/Scale</w:t>
      </w:r>
    </w:p>
    <w:bookmarkStart w:id="20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What is the cold-start latency — time from engine construction to first correct authority decision — of the reference</w:t>
      </w:r>
      <w:r>
        <w:t xml:space="preserve"> </w:t>
      </w:r>
      <w:r>
        <w:rPr>
          <w:bCs/>
          <w:b/>
        </w:rPr>
        <w:t xml:space="preserve">Authority Engine</w:t>
      </w:r>
      <w:r>
        <w:t xml:space="preserve">?</w:t>
      </w:r>
    </w:p>
    <w:p>
      <w:pPr>
        <w:pStyle w:val="BodyText"/>
      </w:pPr>
      <w:r>
        <w:t xml:space="preserve">The Authority Engine answers the AUTHORITY half of Verification-Before-Execution: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Does this principal CURRENTLY hold the authority they are claiming, at the moment of execution — not merely at approval time?</w:t>
      </w:r>
      <w:r>
        <w:rPr>
          <w:iCs/>
          <w:i/>
        </w:rPr>
        <w:t xml:space="preserve">”</w:t>
      </w:r>
      <w:r>
        <w:t xml:space="preserve"> </w:t>
      </w:r>
      <w:r>
        <w:t xml:space="preserve">ARK-483 measured cold start of the Verification Decision guard (the binding-match half). ARK-487 measures the analogous cold start of the current-state authority check.</w:t>
      </w:r>
    </w:p>
    <w:bookmarkEnd w:id="20"/>
    <w:bookmarkStart w:id="21" w:name="scope-honesty-boundary"/>
    <w:p>
      <w:pPr>
        <w:pStyle w:val="Heading2"/>
      </w:pPr>
      <w:r>
        <w:t xml:space="preserve">Scope &amp; Honesty Boundary</w:t>
      </w:r>
    </w:p>
    <w:p>
      <w:pPr>
        <w:pStyle w:val="FirstParagraph"/>
      </w:pPr>
      <w:r>
        <w:t xml:space="preserve">The component under test is a</w:t>
      </w:r>
      <w:r>
        <w:t xml:space="preserve"> </w:t>
      </w:r>
      <w:r>
        <w:rPr>
          <w:bCs/>
          <w:b/>
        </w:rPr>
        <w:t xml:space="preserve">deliberately minimal, in-process reference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engine/authority_engine.py</w:t>
      </w:r>
      <w:r>
        <w:t xml:space="preserve">) built to MEASURE component performance.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production Authority Engine. A production engine (persistent store, replication, external IdP integration) is out of scope for these performance testbeds and belongs to a governed customer integration. All claims are bounded to this in-memory reference under the stated load.</w:t>
      </w:r>
    </w:p>
    <w:bookmarkEnd w:id="21"/>
    <w:bookmarkStart w:id="22" w:name="hypothesis"/>
    <w:p>
      <w:pPr>
        <w:pStyle w:val="Heading2"/>
      </w:pPr>
      <w:r>
        <w:t xml:space="preserve">Hypothesis</w:t>
      </w:r>
    </w:p>
    <w:p>
      <w:pPr>
        <w:pStyle w:val="FirstParagraph"/>
      </w:pPr>
      <w:r>
        <w:t xml:space="preserve">Cold start (construct reference engine of 1,000 principals × 10 grants, then first decision) completes with</w:t>
      </w:r>
      <w:r>
        <w:t xml:space="preserve"> </w:t>
      </w:r>
      <w:r>
        <w:rPr>
          <w:bCs/>
          <w:b/>
        </w:rPr>
        <w:t xml:space="preserve">p95 ≤ 50,000 µs (50 ms)</w:t>
      </w:r>
      <w:r>
        <w:t xml:space="preserve">.</w:t>
      </w:r>
    </w:p>
    <w:bookmarkEnd w:id="22"/>
    <w:bookmarkStart w:id="23" w:name="component-under-test"/>
    <w:p>
      <w:pPr>
        <w:pStyle w:val="Heading2"/>
      </w:pPr>
      <w:r>
        <w:t xml:space="preserve">Component Under Test</w:t>
      </w:r>
    </w:p>
    <w:p>
      <w:pPr>
        <w:pStyle w:val="FirstParagraph"/>
      </w:pPr>
      <w:r>
        <w:rPr>
          <w:bCs/>
          <w:b/>
        </w:rPr>
        <w:t xml:space="preserve">Reference AuthorityEngine</w:t>
      </w:r>
      <w:r>
        <w:t xml:space="preserve"> </w:t>
      </w:r>
      <w:r>
        <w:t xml:space="preserve">— exact, fail-closed authority check:</w:t>
      </w:r>
      <w:r>
        <w:t xml:space="preserve"> </w:t>
      </w:r>
      <w:r>
        <w:t xml:space="preserve">1. principal lookup (dict)</w:t>
      </w:r>
      <w:r>
        <w:t xml:space="preserve"> </w:t>
      </w:r>
      <w:r>
        <w:t xml:space="preserve">2. grant-tuple membership test (set)</w:t>
      </w:r>
      <w:r>
        <w:t xml:space="preserve"> </w:t>
      </w:r>
      <w:r>
        <w:t xml:space="preserve">3. current-state revocation test (set) — the VBE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check</w:t>
      </w:r>
    </w:p>
    <w:p>
      <w:pPr>
        <w:pStyle w:val="BodyText"/>
      </w:pPr>
      <w:r>
        <w:t xml:space="preserve">ALLOW only if the grant exists AND is not currently revoked. No normalization, no case folding, no subset reasoning.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Python (</w:t>
      </w:r>
      <w:r>
        <w:rPr>
          <w:rStyle w:val="VerbatimChar"/>
        </w:rPr>
        <w:t xml:space="preserve">engine/authority_engine.py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Harness:</w:t>
      </w:r>
      <w:r>
        <w:t xml:space="preserve"> </w:t>
      </w:r>
      <w:r>
        <w:rPr>
          <w:rStyle w:val="VerbatimChar"/>
        </w:rPr>
        <w:t xml:space="preserve">engine/perf_harness.py --dimension cold_start</w:t>
      </w:r>
    </w:p>
    <w:bookmarkEnd w:id="23"/>
    <w:bookmarkStart w:id="28" w:name="methodology"/>
    <w:p>
      <w:pPr>
        <w:pStyle w:val="Heading2"/>
      </w:pPr>
      <w:r>
        <w:t xml:space="preserve">Methodology</w:t>
      </w:r>
    </w:p>
    <w:bookmarkStart w:id="24" w:name="test-design"/>
    <w:p>
      <w:pPr>
        <w:pStyle w:val="Heading3"/>
      </w:pPr>
      <w:r>
        <w:t xml:space="preserve">Test Design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Runs:</w:t>
      </w:r>
      <w:r>
        <w:t xml:space="preserve"> </w:t>
      </w:r>
      <w:r>
        <w:t xml:space="preserve">200 independent cold-start cycles</w:t>
      </w:r>
    </w:p>
    <w:p>
      <w:pPr>
        <w:numPr>
          <w:ilvl w:val="0"/>
          <w:numId w:val="1002"/>
        </w:numPr>
        <w:pStyle w:val="Compact"/>
      </w:pPr>
      <w:r>
        <w:t xml:space="preserve">Each run: construct a fresh reference engine → perform one authority check → record elapsed time (µs)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Correctness gate:</w:t>
      </w:r>
      <w:r>
        <w:t xml:space="preserve"> </w:t>
      </w:r>
      <w:r>
        <w:t xml:space="preserve">before measurement, the engine must ALLOW a valid grant, DENY a mutated grant, and DENY a revoked grant</w:t>
      </w:r>
    </w:p>
    <w:bookmarkEnd w:id="24"/>
    <w:bookmarkStart w:id="25" w:name="metrics"/>
    <w:p>
      <w:pPr>
        <w:pStyle w:val="Heading3"/>
      </w:pPr>
      <w:r>
        <w:t xml:space="preserve">Metrics</w:t>
      </w:r>
    </w:p>
    <w:p>
      <w:pPr>
        <w:pStyle w:val="FirstParagraph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cold_start_us</w:t>
      </w:r>
      <w:r>
        <w:t xml:space="preserve"> </w:t>
      </w:r>
      <w:r>
        <w:t xml:space="preserve">— mean, median, p95 (µs)</w:t>
      </w:r>
      <w:r>
        <w:t xml:space="preserve"> </w:t>
      </w:r>
      <w:r>
        <w:rPr>
          <w:bCs/>
          <w:b/>
        </w:rPr>
        <w:t xml:space="preserve">Secondary:</w:t>
      </w:r>
      <w:r>
        <w:t xml:space="preserve"> </w:t>
      </w:r>
      <w:r>
        <w:t xml:space="preserve">min, max</w:t>
      </w:r>
    </w:p>
    <w:bookmarkEnd w:id="25"/>
    <w:bookmarkStart w:id="26" w:name="thresholds-gate-conditions"/>
    <w:p>
      <w:pPr>
        <w:pStyle w:val="Heading3"/>
      </w:pPr>
      <w:r>
        <w:t xml:space="preserve">Thresholds (Gate Conditions)</w:t>
      </w:r>
    </w:p>
    <w:p>
      <w:pPr>
        <w:pStyle w:val="FirstParagraph"/>
      </w:pPr>
      <w:r>
        <w:rPr>
          <w:bCs/>
          <w:b/>
        </w:rPr>
        <w:t xml:space="preserve">C1 (Latency):</w:t>
      </w:r>
      <w:r>
        <w:t xml:space="preserve"> </w:t>
      </w:r>
      <w:r>
        <w:t xml:space="preserve">p95 cold start ≤ 50,000 µs</w:t>
      </w:r>
      <w:r>
        <w:t xml:space="preserve"> </w:t>
      </w:r>
      <w:r>
        <w:rPr>
          <w:bCs/>
          <w:b/>
        </w:rPr>
        <w:t xml:space="preserve">C2 (Correctness):</w:t>
      </w:r>
      <w:r>
        <w:t xml:space="preserve"> </w:t>
      </w:r>
      <w:r>
        <w:t xml:space="preserve">correctness gate must PASS (valid→ALLOW, mutated→DENY, revoked→DENY)</w:t>
      </w:r>
    </w:p>
    <w:p>
      <w:pPr>
        <w:pStyle w:val="BodyText"/>
      </w:pPr>
      <w:r>
        <w:rPr>
          <w:bCs/>
          <w:b/>
        </w:rPr>
        <w:t xml:space="preserve">Verdict:</w:t>
      </w:r>
      <w:r>
        <w:t xml:space="preserve"> </w:t>
      </w:r>
      <w:r>
        <w:t xml:space="preserve">PASS if C1 ∧ C2; otherwise FAIL</w:t>
      </w:r>
    </w:p>
    <w:bookmarkEnd w:id="26"/>
    <w:bookmarkStart w:id="27" w:name="kill-gate-effectiveness-conditions"/>
    <w:p>
      <w:pPr>
        <w:pStyle w:val="Heading3"/>
      </w:pPr>
      <w:r>
        <w:t xml:space="preserve">Kill-Gate / Effectiveness Conditions</w:t>
      </w:r>
    </w:p>
    <w:p>
      <w:pPr>
        <w:pStyle w:val="FirstParagraph"/>
      </w:pPr>
      <w:r>
        <w:rPr>
          <w:bCs/>
          <w:b/>
        </w:rPr>
        <w:t xml:space="preserve">K1:</w:t>
      </w:r>
      <w:r>
        <w:t xml:space="preserve"> </w:t>
      </w:r>
      <w:r>
        <w:t xml:space="preserve">If the correctness gate fails (any unjustified ALLOW or wrong DENY) → GATE-STOP; performance numbers are void.</w:t>
      </w:r>
    </w:p>
    <w:bookmarkEnd w:id="27"/>
    <w:bookmarkEnd w:id="28"/>
    <w:bookmarkStart w:id="29" w:name="honest-findings-commitment"/>
    <w:p>
      <w:pPr>
        <w:pStyle w:val="Heading2"/>
      </w:pPr>
      <w:r>
        <w:t xml:space="preserve">Honest Findings Commitment</w:t>
      </w:r>
    </w:p>
    <w:p>
      <w:pPr>
        <w:pStyle w:val="FirstParagraph"/>
      </w:pPr>
      <w:r>
        <w:t xml:space="preserve">Any deviation from hypothesis (higher/lower than predicted, correctness failures) will be disclosed in RESULTS.md. If the correctness gate fails, the experiment is reported as GATE-STOP regardless of latency.</w:t>
      </w:r>
    </w:p>
    <w:bookmarkEnd w:id="29"/>
    <w:bookmarkStart w:id="30" w:name="execution-protocol"/>
    <w:p>
      <w:pPr>
        <w:pStyle w:val="Heading2"/>
      </w:pPr>
      <w:r>
        <w:t xml:space="preserve">Execution Protocol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Lock:</w:t>
      </w:r>
      <w:r>
        <w:t xml:space="preserve"> </w:t>
      </w:r>
      <w:r>
        <w:t xml:space="preserve">Commit this preregistration + compute MANIFEST.txt hashes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Execute: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engine/perf_harness.py --dimension cold_start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Record:</w:t>
      </w:r>
      <w:r>
        <w:t xml:space="preserve"> </w:t>
      </w:r>
      <w:r>
        <w:t xml:space="preserve">Save results to</w:t>
      </w:r>
      <w:r>
        <w:t xml:space="preserve"> </w:t>
      </w:r>
      <w:r>
        <w:rPr>
          <w:rStyle w:val="VerbatimChar"/>
        </w:rPr>
        <w:t xml:space="preserve">results/coldstart_results.json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Evaluate:</w:t>
      </w:r>
      <w:r>
        <w:t xml:space="preserve"> </w:t>
      </w:r>
      <w:r>
        <w:t xml:space="preserve">Compare against thresholds C1, C2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Report:</w:t>
      </w:r>
      <w:r>
        <w:t xml:space="preserve"> </w:t>
      </w:r>
      <w:r>
        <w:t xml:space="preserve">Document findings in RESULTS.md with honesty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Preregistered:</w:t>
      </w:r>
      <w:r>
        <w:t xml:space="preserve"> </w:t>
      </w:r>
      <w:r>
        <w:t xml:space="preserve">2026-07-18</w:t>
      </w:r>
      <w:r>
        <w:t xml:space="preserve"> </w:t>
      </w:r>
      <w:r>
        <w:rPr>
          <w:bCs/>
          <w:b/>
        </w:rPr>
        <w:t xml:space="preserve">Investigator:</w:t>
      </w:r>
      <w:r>
        <w:t xml:space="preserve"> </w:t>
      </w:r>
      <w:r>
        <w:t xml:space="preserve">Remnant Fieldworks Inc. / ExecutionProof Research Program</w:t>
      </w:r>
      <w:r>
        <w:t xml:space="preserve"> </w:t>
      </w:r>
      <w:r>
        <w:rPr>
          <w:bCs/>
          <w:b/>
        </w:rPr>
        <w:t xml:space="preserve">Covenant:</w:t>
      </w:r>
      <w:r>
        <w:t xml:space="preserve"> </w:t>
      </w:r>
      <w:r>
        <w:t xml:space="preserve">RF Standing Covenant (preserve outcomes, bound claims, honest disclosure)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2026-07-18T21:49:48Z</dcterms:created>
  <dcterms:modified xsi:type="dcterms:W3CDTF">2026-07-18T21:49:48Z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