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k-491-authority-engine-cost-at-scale"/>
    <w:p>
      <w:pPr>
        <w:pStyle w:val="Heading1"/>
      </w:pPr>
      <w:r>
        <w:t xml:space="preserve">ARK-491 — Authority Engine · Cost at Scale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marginal compute cost per authority decision (and per million decisions) of the reference</w:t>
      </w:r>
      <w:r>
        <w:t xml:space="preserve"> </w:t>
      </w:r>
      <w:r>
        <w:rPr>
          <w:bCs/>
          <w:b/>
        </w:rPr>
        <w:t xml:space="preserve">Authority Engine</w:t>
      </w:r>
      <w:r>
        <w:t xml:space="preserve"> </w:t>
      </w:r>
      <w:r>
        <w:t xml:space="preserve">under a realistic running-service deployment model?</w:t>
      </w:r>
    </w:p>
    <w:p>
      <w:pPr>
        <w:pStyle w:val="BodyText"/>
      </w:pPr>
      <w:r>
        <w:t xml:space="preserve">Analogous to ARK-486 (Verification Decision cost), applied to the current-state authority check. ARK-486 established that a per-request serverless price per in-process decision is a</w:t>
      </w:r>
      <w:r>
        <w:t xml:space="preserve"> </w:t>
      </w:r>
      <w:r>
        <w:rPr>
          <w:bCs/>
          <w:b/>
        </w:rPr>
        <w:t xml:space="preserve">category error</w:t>
      </w:r>
      <w:r>
        <w:t xml:space="preserve"> </w:t>
      </w:r>
      <w:r>
        <w:t xml:space="preserve">(the engine is an in-process library call executing millions of decisions/second, not a per-request Lambda invocation). ARK-491 adopts the same corrected cost basis.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Minimal in-process 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, built to MEASURE, not the production engine. Cost figures are compute-time estimates for the reference implementation, not a customer quote.</w:t>
      </w:r>
    </w:p>
    <w:bookmarkEnd w:id="21"/>
    <w:bookmarkStart w:id="22" w:name="cost-model"/>
    <w:p>
      <w:pPr>
        <w:pStyle w:val="Heading2"/>
      </w:pPr>
      <w:r>
        <w:t xml:space="preserve">Cost Model</w:t>
      </w:r>
    </w:p>
    <w:p>
      <w:pPr>
        <w:pStyle w:val="FirstParagraph"/>
      </w:pPr>
      <w:r>
        <w:rPr>
          <w:bCs/>
          <w:b/>
        </w:rPr>
        <w:t xml:space="preserve">Verdict basis — Scenario B (realistic running service):</w:t>
      </w:r>
      <w:r>
        <w:t xml:space="preserve"> </w:t>
      </w:r>
      <w:r>
        <w:t xml:space="preserve">the engine runs inside an always-on service; marginal cost per decision = compute time × vCPU-second price.</w:t>
      </w:r>
      <w:r>
        <w:t xml:space="preserve"> </w:t>
      </w:r>
      <w:r>
        <w:t xml:space="preserve">- AWS Fargate:</w:t>
      </w:r>
      <w:r>
        <w:t xml:space="preserve"> </w:t>
      </w:r>
      <w:r>
        <w:rPr>
          <w:bCs/>
          <w:b/>
        </w:rPr>
        <w:t xml:space="preserve">$0.04048 / vCPU-hour = $0.00001124 / vCPU-second</w:t>
      </w:r>
      <w:r>
        <w:t xml:space="preserve"> </w:t>
      </w:r>
      <w:r>
        <w:t xml:space="preserve">- cost_per_decision = vCPU-second price ÷ throughput (dec/s)</w:t>
      </w:r>
    </w:p>
    <w:p>
      <w:pPr>
        <w:pStyle w:val="BodyText"/>
      </w:pPr>
      <w:r>
        <w:rPr>
          <w:bCs/>
          <w:b/>
        </w:rPr>
        <w:t xml:space="preserve">Disclosed upper bound — Scenario A (serverless-naive):</w:t>
      </w:r>
      <w:r>
        <w:t xml:space="preserve"> </w:t>
      </w:r>
      <w:r>
        <w:t xml:space="preserve">if (incorrectly) billed as one serverless request per decision (~$0.20/M + duration), reported for transparency only. NOT the verdict basis (see ARK-486 rationale).</w:t>
      </w:r>
    </w:p>
    <w:bookmarkEnd w:id="22"/>
    <w:bookmarkStart w:id="23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Scenario B cost</w:t>
      </w:r>
      <w:r>
        <w:t xml:space="preserve"> </w:t>
      </w:r>
      <w:r>
        <w:rPr>
          <w:bCs/>
          <w:b/>
        </w:rPr>
        <w:t xml:space="preserve">≤ $0.01 per million decisions</w:t>
      </w:r>
      <w:r>
        <w:t xml:space="preserve">.</w:t>
      </w:r>
    </w:p>
    <w:bookmarkEnd w:id="23"/>
    <w:bookmarkStart w:id="24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 </w:t>
      </w:r>
      <w:r>
        <w:t xml:space="preserve">(exact, fail-closed).</w:t>
      </w:r>
      <w:r>
        <w:t xml:space="preserve"> </w:t>
      </w:r>
      <w:r>
        <w:rPr>
          <w:rStyle w:val="VerbatimChar"/>
        </w:rPr>
        <w:t xml:space="preserve">engine/perf_harness.py --dimension cost</w:t>
      </w:r>
      <w:r>
        <w:t xml:space="preserve"> </w:t>
      </w:r>
      <w:r>
        <w:t xml:space="preserve">(derives cost from a 10s burst throughput measurement).</w:t>
      </w:r>
    </w:p>
    <w:bookmarkEnd w:id="24"/>
    <w:bookmarkStart w:id="27" w:name="methodology"/>
    <w:p>
      <w:pPr>
        <w:pStyle w:val="Heading2"/>
      </w:pPr>
      <w:r>
        <w:t xml:space="preserve">Methodology</w:t>
      </w:r>
    </w:p>
    <w:p>
      <w:pPr>
        <w:numPr>
          <w:ilvl w:val="0"/>
          <w:numId w:val="1001"/>
        </w:numPr>
        <w:pStyle w:val="Compact"/>
      </w:pPr>
      <w:r>
        <w:t xml:space="preserve">Measure burst throughput (10s), derive cost_per_decision = Fargate vCPU-second ÷ throughput</w:t>
      </w:r>
    </w:p>
    <w:p>
      <w:pPr>
        <w:numPr>
          <w:ilvl w:val="0"/>
          <w:numId w:val="1001"/>
        </w:numPr>
        <w:pStyle w:val="Compact"/>
      </w:pPr>
      <w:r>
        <w:t xml:space="preserve">Report both cost_per_decision and cost_per_million_decisions (Scenario B), plus the Scenario A naive bound for disclosure</w:t>
      </w:r>
    </w:p>
    <w:bookmarkStart w:id="25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cost_per_million_decisions</w:t>
      </w:r>
      <w:r>
        <w:t xml:space="preserve"> </w:t>
      </w:r>
      <w:r>
        <w:t xml:space="preserve">(Scenario B)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rPr>
          <w:rStyle w:val="VerbatimChar"/>
        </w:rPr>
        <w:t xml:space="preserve">cost_per_decision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throughput_dps</w:t>
      </w:r>
      <w:r>
        <w:t xml:space="preserve">,</w:t>
      </w:r>
      <w:r>
        <w:t xml:space="preserve"> </w:t>
      </w:r>
      <w:r>
        <w:rPr>
          <w:rStyle w:val="VerbatimChar"/>
        </w:rPr>
        <w:t xml:space="preserve">naive_serverless_per_million</w:t>
      </w:r>
      <w:r>
        <w:t xml:space="preserve"> </w:t>
      </w:r>
      <w:r>
        <w:t xml:space="preserve">(Scenario A),</w:t>
      </w:r>
      <w:r>
        <w:t xml:space="preserve"> </w:t>
      </w:r>
      <w:r>
        <w:rPr>
          <w:rStyle w:val="VerbatimChar"/>
        </w:rPr>
        <w:t xml:space="preserve">accuracy</w:t>
      </w:r>
    </w:p>
    <w:bookmarkEnd w:id="25"/>
    <w:bookmarkStart w:id="26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(Cost):</w:t>
      </w:r>
      <w:r>
        <w:t xml:space="preserve"> </w:t>
      </w:r>
      <w:r>
        <w:t xml:space="preserve">Scenario B cost_per_million_decisions ≤ $0.01</w:t>
      </w:r>
      <w:r>
        <w:t xml:space="preserve"> </w:t>
      </w:r>
      <w:r>
        <w:rPr>
          <w:bCs/>
          <w:b/>
        </w:rPr>
        <w:t xml:space="preserve">C2 (Correctness gate):</w:t>
      </w:r>
      <w:r>
        <w:t xml:space="preserve"> </w:t>
      </w:r>
      <w:r>
        <w:t xml:space="preserve">valid→ALLOW, mutated→DENY, revoked→DENY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6"/>
    <w:bookmarkEnd w:id="27"/>
    <w:bookmarkStart w:id="28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Both the realistic (Scenario B) and naive-serverless (Scenario A) figures are disclosed. The verdict is taken on Scenario B; the Scenario A bound is reported so readers can see the worst-case framing.</w:t>
      </w:r>
    </w:p>
    <w:bookmarkEnd w:id="28"/>
    <w:bookmarkStart w:id="29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prereg + MANIFEST.txt hashes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rPr>
          <w:rStyle w:val="VerbatimChar"/>
        </w:rPr>
        <w:t xml:space="preserve">engine/perf_harness.py --dimension cost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results/cost_results.json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against C1, C2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in 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2026-07-18T21:50:45Z</dcterms:created>
  <dcterms:modified xsi:type="dcterms:W3CDTF">2026-07-18T21:50:45Z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