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9bf77b04c35013a2ae216a6f5f1e37e7b25b15"/>
    <w:p>
      <w:pPr>
        <w:pStyle w:val="Heading1"/>
      </w:pPr>
      <w:r>
        <w:t xml:space="preserve">ARK-492 — Evidence Engine · Cold Start Latency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the cold-start latency — time from engine construction to first correct evidence verification — of the reference</w:t>
      </w:r>
      <w:r>
        <w:t xml:space="preserve"> </w:t>
      </w:r>
      <w:r>
        <w:rPr>
          <w:bCs/>
          <w:b/>
        </w:rPr>
        <w:t xml:space="preserve">Evidence Engine</w:t>
      </w:r>
      <w:r>
        <w:t xml:space="preserve">?</w:t>
      </w:r>
    </w:p>
    <w:p>
      <w:pPr>
        <w:pStyle w:val="BodyText"/>
      </w:pPr>
      <w:r>
        <w:t xml:space="preserve">The Evidence Engine answers the EVIDENCE half of Verification-Before-Execution: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there a complete, tamper-evident record proving the execution matched what was authorized — one that cannot be silently altered after the fact?</w:t>
      </w:r>
      <w:r>
        <w:rPr>
          <w:iCs/>
          <w:i/>
        </w:rPr>
        <w:t xml:space="preserve">”</w:t>
      </w:r>
      <w:r>
        <w:t xml:space="preserve"> </w:t>
      </w:r>
      <w:r>
        <w:t xml:space="preserve">This completes the P02 component coverage: Verification Decision (ARK-483–486), Authority Engine (ARK-487–491), Evidence Engine (ARK-492).</w:t>
      </w:r>
    </w:p>
    <w:bookmarkEnd w:id="20"/>
    <w:bookmarkStart w:id="21" w:name="scope-honesty-boundary"/>
    <w:p>
      <w:pPr>
        <w:pStyle w:val="Heading2"/>
      </w:pPr>
      <w:r>
        <w:t xml:space="preserve">Scope &amp; Honesty Boundary</w:t>
      </w:r>
    </w:p>
    <w:p>
      <w:pPr>
        <w:pStyle w:val="FirstParagraph"/>
      </w:pPr>
      <w:r>
        <w:t xml:space="preserve">The component under test is a</w:t>
      </w:r>
      <w:r>
        <w:t xml:space="preserve"> </w:t>
      </w:r>
      <w:r>
        <w:rPr>
          <w:bCs/>
          <w:b/>
        </w:rPr>
        <w:t xml:space="preserve">deliberately minimal, in-process reference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engine/evidence_engine.py</w:t>
      </w:r>
      <w:r>
        <w:t xml:space="preserve">) built to MEASURE component performance.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production Evidence Engine. A production engine (durable append-only store, replication, external notarization/timestamping) is out of scope for these testbeds and belongs to a governed customer integration. All claims are bounded to this in-memory reference under the stated load.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Cold start (construct reference evidence chain of 10,000 records, then verify the first record) completes with</w:t>
      </w:r>
      <w:r>
        <w:t xml:space="preserve"> </w:t>
      </w:r>
      <w:r>
        <w:rPr>
          <w:bCs/>
          <w:b/>
        </w:rPr>
        <w:t xml:space="preserve">p95 ≤ 100,000 µs (100 ms)</w:t>
      </w:r>
      <w:r>
        <w:t xml:space="preserve">. Higher than the Authority Engine (ARK-487) because chain construction computes 10,000 SHA-256 hashes.</w:t>
      </w:r>
    </w:p>
    <w:bookmarkEnd w:id="22"/>
    <w:bookmarkStart w:id="23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rPr>
          <w:bCs/>
          <w:b/>
        </w:rPr>
        <w:t xml:space="preserve">Reference EvidenceEngine</w:t>
      </w:r>
      <w:r>
        <w:t xml:space="preserve"> </w:t>
      </w:r>
      <w:r>
        <w:t xml:space="preserve">— hash-chained, tamper-evident proof records:</w:t>
      </w:r>
      <w:r>
        <w:t xml:space="preserve"> </w:t>
      </w:r>
      <w:r>
        <w:t xml:space="preserve">1. each record binds (principal, action, authorization_ref, outcome)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entry_hash = sha256(prev_hash || canonical(record))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verify_record(i)</w:t>
      </w:r>
      <w:r>
        <w:t xml:space="preserve"> </w:t>
      </w:r>
      <w:r>
        <w:t xml:space="preserve">recomputes the hash (tamper check) AND checks the chain link to the predecessor (chain check)</w:t>
      </w:r>
    </w:p>
    <w:p>
      <w:pPr>
        <w:pStyle w:val="BodyText"/>
      </w:pPr>
      <w:r>
        <w:t xml:space="preserve">ALLOW only if the record is intact AND correctly chained. Exact, fail-closed. No normalization.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engine/evidence_engine.py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Harness:</w:t>
      </w:r>
      <w:r>
        <w:t xml:space="preserve"> </w:t>
      </w:r>
      <w:r>
        <w:rPr>
          <w:rStyle w:val="VerbatimChar"/>
        </w:rPr>
        <w:t xml:space="preserve">engine/perf_harness.py --dimension cold_start</w:t>
      </w:r>
    </w:p>
    <w:bookmarkEnd w:id="23"/>
    <w:bookmarkStart w:id="28" w:name="methodology"/>
    <w:p>
      <w:pPr>
        <w:pStyle w:val="Heading2"/>
      </w:pPr>
      <w:r>
        <w:t xml:space="preserve">Methodology</w:t>
      </w:r>
    </w:p>
    <w:bookmarkStart w:id="24" w:name="test-design"/>
    <w:p>
      <w:pPr>
        <w:pStyle w:val="Heading3"/>
      </w:pPr>
      <w:r>
        <w:t xml:space="preserve">Test 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Runs:</w:t>
      </w:r>
      <w:r>
        <w:t xml:space="preserve"> </w:t>
      </w:r>
      <w:r>
        <w:t xml:space="preserve">200 independent cold-start cycles</w:t>
      </w:r>
    </w:p>
    <w:p>
      <w:pPr>
        <w:numPr>
          <w:ilvl w:val="0"/>
          <w:numId w:val="1002"/>
        </w:numPr>
        <w:pStyle w:val="Compact"/>
      </w:pPr>
      <w:r>
        <w:t xml:space="preserve">Each run: construct a fresh reference chain (10,000 records) → verify the first record → record elapsed time (µs)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Correctness gate:</w:t>
      </w:r>
      <w:r>
        <w:t xml:space="preserve"> </w:t>
      </w:r>
      <w:r>
        <w:t xml:space="preserve">an intact record must ALLOW; a content-tampered record must DENY; a broken-chain record must DENY</w:t>
      </w:r>
    </w:p>
    <w:bookmarkEnd w:id="24"/>
    <w:bookmarkStart w:id="25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cold_start_us</w:t>
      </w:r>
      <w:r>
        <w:t xml:space="preserve"> </w:t>
      </w:r>
      <w:r>
        <w:t xml:space="preserve">— mean, median, p95 (µs)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t xml:space="preserve">min, max</w:t>
      </w:r>
    </w:p>
    <w:bookmarkEnd w:id="25"/>
    <w:bookmarkStart w:id="26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(Latency):</w:t>
      </w:r>
      <w:r>
        <w:t xml:space="preserve"> </w:t>
      </w:r>
      <w:r>
        <w:t xml:space="preserve">p95 cold start ≤ 100,000 µs</w:t>
      </w:r>
      <w:r>
        <w:t xml:space="preserve"> </w:t>
      </w:r>
      <w:r>
        <w:rPr>
          <w:bCs/>
          <w:b/>
        </w:rPr>
        <w:t xml:space="preserve">C2 (Correctness):</w:t>
      </w:r>
      <w:r>
        <w:t xml:space="preserve"> </w:t>
      </w:r>
      <w:r>
        <w:t xml:space="preserve">correctness gate must PASS (intact→ALLOW, tampered→DENY, broken chain→DENY)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C2; otherwise FAIL</w:t>
      </w:r>
    </w:p>
    <w:bookmarkEnd w:id="26"/>
    <w:bookmarkStart w:id="27" w:name="kill-gate"/>
    <w:p>
      <w:pPr>
        <w:pStyle w:val="Heading3"/>
      </w:pPr>
      <w:r>
        <w:t xml:space="preserve">Kill-Gate</w:t>
      </w:r>
    </w:p>
    <w:p>
      <w:pPr>
        <w:pStyle w:val="FirstParagraph"/>
      </w:pPr>
      <w:r>
        <w:rPr>
          <w:bCs/>
          <w:b/>
        </w:rPr>
        <w:t xml:space="preserve">K1:</w:t>
      </w:r>
      <w:r>
        <w:t xml:space="preserve"> </w:t>
      </w:r>
      <w:r>
        <w:t xml:space="preserve">If a tampered or broken-chain record verifies as ALLOW → the tamper-evidence property is void → GATE-STOP; latency numbers void.</w:t>
      </w:r>
    </w:p>
    <w:bookmarkEnd w:id="27"/>
    <w:bookmarkEnd w:id="28"/>
    <w:bookmarkStart w:id="29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Any deviation from hypothesis (higher/lower than predicted, correctness failures) will be disclosed in RESULTS.md. If the correctness gate fails, the experiment is reported as GATE-STOP regardless of latency.</w:t>
      </w:r>
    </w:p>
    <w:bookmarkEnd w:id="29"/>
    <w:bookmarkStart w:id="30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Lock:</w:t>
      </w:r>
      <w:r>
        <w:t xml:space="preserve"> </w:t>
      </w:r>
      <w:r>
        <w:t xml:space="preserve">Commit this preregistration + compute MANIFEST.txt hashes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engine/perf_harness.py --dimension cold_start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Save results to</w:t>
      </w:r>
      <w:r>
        <w:t xml:space="preserve"> </w:t>
      </w:r>
      <w:r>
        <w:rPr>
          <w:rStyle w:val="VerbatimChar"/>
        </w:rPr>
        <w:t xml:space="preserve">results/coldstart_results.json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Evaluate:</w:t>
      </w:r>
      <w:r>
        <w:t xml:space="preserve"> </w:t>
      </w:r>
      <w:r>
        <w:t xml:space="preserve">Compare against thresholds C1, C2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Document findings in RESULTS.md with honesty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t xml:space="preserve"> </w:t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2026-07-18T21:51:42Z</dcterms:created>
  <dcterms:modified xsi:type="dcterms:W3CDTF">2026-07-18T21:51:42Z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