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ark-458-preregistration"/>
    <w:p>
      <w:pPr>
        <w:pStyle w:val="Heading1"/>
      </w:pPr>
      <w:r>
        <w:t xml:space="preserve">ARK-458 — Preregistration</w:t>
      </w:r>
    </w:p>
    <w:bookmarkStart w:id="30" w:name="X7ad0726f503cead32ae5a0eb6fc5ca698721b5a"/>
    <w:p>
      <w:pPr>
        <w:pStyle w:val="Heading2"/>
      </w:pPr>
      <w:r>
        <w:t xml:space="preserve">Cloud IAM Role Grant · Exact-Action Binding</w:t>
      </w:r>
    </w:p>
    <w:p>
      <w:pPr>
        <w:pStyle w:val="FirstParagraph"/>
      </w:pPr>
      <w:r>
        <w:rPr>
          <w:bCs/>
          <w:b/>
        </w:rPr>
        <w:t xml:space="preserve">Series:</w:t>
      </w:r>
      <w:r>
        <w:t xml:space="preserve"> </w:t>
      </w:r>
      <w:r>
        <w:t xml:space="preserve">ExecutionProof authorization-boundary corpus —</w:t>
      </w:r>
      <w:r>
        <w:t xml:space="preserve"> </w:t>
      </w:r>
      <w:r>
        <w:rPr>
          <w:bCs/>
          <w:b/>
        </w:rPr>
        <w:t xml:space="preserve">Production-Boundary phase (P01)</w:t>
      </w:r>
      <w:r>
        <w:t xml:space="preserve"> </w:t>
      </w:r>
      <w:r>
        <w:rPr>
          <w:bCs/>
          <w:b/>
        </w:rPr>
        <w:t xml:space="preserve">Experiment ID:</w:t>
      </w:r>
      <w:r>
        <w:t xml:space="preserve"> </w:t>
      </w:r>
      <w:r>
        <w:t xml:space="preserve">ARK-458</w:t>
      </w:r>
      <w:r>
        <w:t xml:space="preserve"> </w:t>
      </w:r>
      <w:r>
        <w:rPr>
          <w:bCs/>
          <w:b/>
        </w:rPr>
        <w:t xml:space="preserve">Institution:</w:t>
      </w:r>
      <w:r>
        <w:t xml:space="preserve"> </w:t>
      </w:r>
      <w:r>
        <w:t xml:space="preserve">Remnant Fieldworks Inc.</w:t>
      </w:r>
      <w:r>
        <w:t xml:space="preserve"> </w:t>
      </w:r>
      <w:r>
        <w:rPr>
          <w:bCs/>
          <w:b/>
        </w:rPr>
        <w:t xml:space="preserve">PI:</w:t>
      </w:r>
      <w:r>
        <w:t xml:space="preserve"> </w:t>
      </w:r>
      <w:r>
        <w:t xml:space="preserve">Derek Adam Hone</w:t>
      </w:r>
      <w:r>
        <w:t xml:space="preserve"> </w:t>
      </w:r>
      <w:r>
        <w:rPr>
          <w:bCs/>
          <w:b/>
        </w:rPr>
        <w:t xml:space="preserve">Substrate:</w:t>
      </w:r>
      <w:r>
        <w:t xml:space="preserve"> </w:t>
      </w:r>
      <w:r>
        <w:t xml:space="preserve">Classical software (no quantum hardware, no cryptographic security claims)</w:t>
      </w:r>
      <w:r>
        <w:t xml:space="preserve"> </w:t>
      </w:r>
      <w:r>
        <w:rPr>
          <w:bCs/>
          <w:b/>
        </w:rPr>
        <w:t xml:space="preserve">Guards:</w:t>
      </w:r>
      <w:r>
        <w:t xml:space="preserve"> </w:t>
      </w:r>
      <w:r>
        <w:t xml:space="preserve">Dual independent — V1 (JavaScript), V2 (Python)</w:t>
      </w:r>
      <w:r>
        <w:t xml:space="preserve"> </w:t>
      </w:r>
      <w:r>
        <w:rPr>
          <w:bCs/>
          <w:b/>
        </w:rPr>
        <w:t xml:space="preserve">Preregistration status:</w:t>
      </w:r>
      <w:r>
        <w:t xml:space="preserve"> </w:t>
      </w:r>
      <w:r>
        <w:t xml:space="preserve">LOCKED before official execution (see</w:t>
      </w:r>
      <w:r>
        <w:t xml:space="preserve"> </w:t>
      </w:r>
      <w:r>
        <w:rPr>
          <w:rStyle w:val="VerbatimChar"/>
        </w:rPr>
        <w:t xml:space="preserve">MANIFEST.txt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Start w:id="20" w:name="X6f0316b3eaddd086e2c2fba7304272016c30296"/>
    <w:p>
      <w:pPr>
        <w:pStyle w:val="Heading3"/>
      </w:pPr>
      <w:r>
        <w:t xml:space="preserve">Commercial / standards / IP justification (required by RF covenant)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Commercial purpose:</w:t>
      </w:r>
      <w:r>
        <w:t xml:space="preserve"> </w:t>
      </w:r>
      <w:r>
        <w:t xml:space="preserve">Directly answers</w:t>
      </w:r>
      <w:r>
        <w:t xml:space="preserve"> </w:t>
      </w:r>
      <w:r>
        <w:rPr>
          <w:bCs/>
          <w:b/>
        </w:rPr>
        <w:t xml:space="preserve">Prospect Question #3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Can a changed action be rejected after it was approved?</w:t>
      </w:r>
      <w:r>
        <w:rPr>
          <w:iCs/>
          <w:i/>
        </w:rPr>
        <w:t xml:space="preserve">”</w:t>
      </w:r>
      <w:r>
        <w:t xml:space="preserve"> </w:t>
      </w:r>
      <w:r>
        <w:t xml:space="preserve">— in a</w:t>
      </w:r>
      <w:r>
        <w:t xml:space="preserve"> </w:t>
      </w:r>
      <w:r>
        <w:rPr>
          <w:bCs/>
          <w:b/>
        </w:rPr>
        <w:t xml:space="preserve">recognizable enterprise context</w:t>
      </w:r>
      <w:r>
        <w:t xml:space="preserve"> </w:t>
      </w:r>
      <w:r>
        <w:t xml:space="preserve">(an AWS-style IAM role grant). This is the first ExecutionProof</w:t>
      </w:r>
      <w:r>
        <w:t xml:space="preserve"> </w:t>
      </w:r>
      <w:r>
        <w:rPr>
          <w:bCs/>
          <w:b/>
        </w:rPr>
        <w:t xml:space="preserve">production-boundary integration</w:t>
      </w:r>
      <w:r>
        <w:t xml:space="preserve">, moving beyond abstract authorization tuples to a concrete, buyer-legible action:</w:t>
      </w:r>
      <w:r>
        <w:t xml:space="preserve"> </w:t>
      </w:r>
      <w:r>
        <w:rPr>
          <w:iCs/>
          <w:i/>
        </w:rPr>
        <w:t xml:space="preserve">granting an IAM role.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RF-100 requirement:</w:t>
      </w:r>
      <w:r>
        <w:t xml:space="preserve"> </w:t>
      </w:r>
      <w:r>
        <w:t xml:space="preserve">Exercises the</w:t>
      </w:r>
      <w:r>
        <w:t xml:space="preserve"> </w:t>
      </w:r>
      <w:r>
        <w:rPr>
          <w:bCs/>
          <w:b/>
        </w:rPr>
        <w:t xml:space="preserve">exact-action-binding</w:t>
      </w:r>
      <w:r>
        <w:t xml:space="preserve"> </w:t>
      </w:r>
      <w:r>
        <w:t xml:space="preserve">conformance requirement — that an approval authorizes one specific action and nothing broader.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Patent-family connection:</w:t>
      </w:r>
      <w:r>
        <w:t xml:space="preserve"> </w:t>
      </w:r>
      <w:r>
        <w:t xml:space="preserve">Produces dated</w:t>
      </w:r>
      <w:r>
        <w:t xml:space="preserve"> </w:t>
      </w:r>
      <w:r>
        <w:rPr>
          <w:bCs/>
          <w:b/>
        </w:rPr>
        <w:t xml:space="preserve">working-example</w:t>
      </w:r>
      <w:r>
        <w:t xml:space="preserve"> </w:t>
      </w:r>
      <w:r>
        <w:t xml:space="preserve">evidence for the exact-action / no-privilege-drift mechanisms described in the filed parent application</w:t>
      </w:r>
      <w:r>
        <w:t xml:space="preserve"> </w:t>
      </w:r>
      <w:r>
        <w:rPr>
          <w:rStyle w:val="VerbatimChar"/>
        </w:rPr>
        <w:t xml:space="preserve">19/529,283</w:t>
      </w:r>
      <w:r>
        <w:t xml:space="preserve"> </w:t>
      </w:r>
      <w:r>
        <w:t xml:space="preserve">and the AI-governance / proof CIP family.</w:t>
      </w:r>
      <w:r>
        <w:t xml:space="preserve"> </w:t>
      </w:r>
      <w:r>
        <w:rPr>
          <w:iCs/>
          <w:i/>
        </w:rPr>
        <w:t xml:space="preserve">Working-example evidence only — it does not legally validate any claim, and adds no new matter to any filed application.</w:t>
      </w:r>
    </w:p>
    <w:p>
      <w:r>
        <w:pict>
          <v:rect style="width:0;height:1.5pt" o:hralign="center" o:hrstd="t" o:hr="t"/>
        </w:pict>
      </w:r>
    </w:p>
    <w:bookmarkEnd w:id="20"/>
    <w:bookmarkStart w:id="21" w:name="question"/>
    <w:p>
      <w:pPr>
        <w:pStyle w:val="Heading3"/>
      </w:pPr>
      <w:r>
        <w:t xml:space="preserve">Question</w:t>
      </w:r>
    </w:p>
    <w:p>
      <w:pPr>
        <w:pStyle w:val="FirstParagraph"/>
      </w:pPr>
      <w:r>
        <w:t xml:space="preserve">When an authorization is APPROVED bound to a</w:t>
      </w:r>
      <w:r>
        <w:t xml:space="preserve"> </w:t>
      </w:r>
      <w:r>
        <w:rPr>
          <w:iCs/>
          <w:i/>
        </w:rPr>
        <w:t xml:space="preserve">specific</w:t>
      </w:r>
      <w:r>
        <w:t xml:space="preserve"> </w:t>
      </w:r>
      <w:r>
        <w:t xml:space="preserve">IAM role-grant action (an exact action tuple), can that approval be used to execute a</w:t>
      </w:r>
      <w:r>
        <w:t xml:space="preserve"> </w:t>
      </w:r>
      <w:r>
        <w:rPr>
          <w:bCs/>
          <w:b/>
        </w:rPr>
        <w:t xml:space="preserve">mutated</w:t>
      </w:r>
      <w:r>
        <w:t xml:space="preserve"> </w:t>
      </w:r>
      <w:r>
        <w:t xml:space="preserve">grant — a higher-privilege role, a different grantee, a different account, a broadened permission set, a stripped scope condition, multi-dimension tampering, or a superficial</w:t>
      </w:r>
      <w:r>
        <w:t xml:space="preserve"> </w:t>
      </w:r>
      <w:r>
        <w:t xml:space="preserve">“</w:t>
      </w:r>
      <w:r>
        <w:t xml:space="preserve">confusable</w:t>
      </w:r>
      <w:r>
        <w:t xml:space="preserve">”</w:t>
      </w:r>
      <w:r>
        <w:t xml:space="preserve"> </w:t>
      </w:r>
      <w:r>
        <w:t xml:space="preserve">near-match? A correct guard must</w:t>
      </w:r>
      <w:r>
        <w:t xml:space="preserve"> </w:t>
      </w:r>
      <w:r>
        <w:rPr>
          <w:bCs/>
          <w:b/>
        </w:rPr>
        <w:t xml:space="preserve">ALLOW only on an exact action-tuple match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DENY every mutation</w:t>
      </w:r>
      <w:r>
        <w:t xml:space="preserve">.</w:t>
      </w:r>
    </w:p>
    <w:bookmarkEnd w:id="21"/>
    <w:bookmarkStart w:id="22" w:name="binding-dimensions-the-iam-action-tuple"/>
    <w:p>
      <w:pPr>
        <w:pStyle w:val="Heading3"/>
      </w:pPr>
      <w:r>
        <w:t xml:space="preserve">Binding dimensions (the</w:t>
      </w:r>
      <w:r>
        <w:t xml:space="preserve"> </w:t>
      </w:r>
      <w:r>
        <w:t xml:space="preserve">“</w:t>
      </w:r>
      <w:r>
        <w:t xml:space="preserve">IAM action tuple</w:t>
      </w:r>
      <w:r>
        <w:t xml:space="preserve">”</w:t>
      </w:r>
      <w:r>
        <w:t xml:space="preserve">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904"/>
        <w:gridCol w:w="501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Dimension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 in the grant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principal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ARN of the grantee (who receives the role)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role / managed policy being granted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AWS account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permission_set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canonical hash of the effective permission scope (policy body)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 condition (region / MFA / resource constraint)</w:t>
            </w:r>
          </w:p>
        </w:tc>
      </w:tr>
    </w:tbl>
    <w:bookmarkEnd w:id="22"/>
    <w:bookmarkStart w:id="23" w:name="design"/>
    <w:p>
      <w:pPr>
        <w:pStyle w:val="Heading3"/>
      </w:pPr>
      <w:r>
        <w:t xml:space="preserve">Design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8 arms × 100 scenarios = 800 evaluation decisions.</w:t>
      </w:r>
    </w:p>
    <w:p>
      <w:pPr>
        <w:numPr>
          <w:ilvl w:val="0"/>
          <w:numId w:val="1002"/>
        </w:numPr>
        <w:pStyle w:val="Compact"/>
      </w:pPr>
      <w:r>
        <w:t xml:space="preserve">Each scenario: one approved action (</w:t>
      </w:r>
      <w:r>
        <w:rPr>
          <w:rStyle w:val="VerbatimChar"/>
        </w:rPr>
        <w:t xml:space="preserve">authorization.binding</w:t>
      </w:r>
      <w:r>
        <w:t xml:space="preserve">) + one execution action (</w:t>
      </w:r>
      <w:r>
        <w:rPr>
          <w:rStyle w:val="VerbatimChar"/>
        </w:rPr>
        <w:t xml:space="preserve">execution.action</w:t>
      </w:r>
      <w:r>
        <w:t xml:space="preserve">).</w:t>
      </w:r>
    </w:p>
    <w:p>
      <w:pPr>
        <w:numPr>
          <w:ilvl w:val="0"/>
          <w:numId w:val="1002"/>
        </w:numPr>
        <w:pStyle w:val="Compact"/>
      </w:pPr>
      <w:r>
        <w:t xml:space="preserve">Arm 1 is an exact copy (expect ALLOW). Arms 2–8 mutate the action (expect DENY).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23"/>
        <w:gridCol w:w="3350"/>
        <w:gridCol w:w="304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BASELINE-exact-action-match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ROLE-ESCALATION (strictly higher-privilege role)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PRINCIPAL-SWAP (grantee changed)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ACCOUNT-SWAP (target account changed)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PERMISSION-EXPANSION (same role name, broadened policy body)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CONDITION-STRIP (scope condition removed / loosened)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MULTI-DIM-TAMPER (2–3 dimensions mutated at once)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CONFUSABLE-NEAR-MATCH (trailing space / case-flip / zero-width / homoglyph)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DENY</w:t>
            </w:r>
          </w:p>
        </w:tc>
      </w:tr>
    </w:tbl>
    <w:bookmarkEnd w:id="23"/>
    <w:bookmarkStart w:id="24" w:name="Xbbc5423c9f9319d102d383d4407440349ae33e1"/>
    <w:p>
      <w:pPr>
        <w:pStyle w:val="Heading3"/>
      </w:pPr>
      <w:r>
        <w:t xml:space="preserve">Guard rule (both V1 and V2, independently implemented)</w:t>
      </w:r>
    </w:p>
    <w:p>
      <w:pPr>
        <w:pStyle w:val="FirstParagraph"/>
      </w:pPr>
      <w:r>
        <w:t xml:space="preserve">ALLOW</w:t>
      </w:r>
      <w:r>
        <w:t xml:space="preserve"> </w:t>
      </w:r>
      <w:r>
        <w:rPr>
          <w:bCs/>
          <w:b/>
        </w:rPr>
        <w:t xml:space="preserve">iff</w:t>
      </w:r>
      <w:r>
        <w:t xml:space="preserve"> </w:t>
      </w:r>
      <w:r>
        <w:t xml:space="preserve">the execution action equals the approved action by</w:t>
      </w:r>
      <w:r>
        <w:t xml:space="preserve"> </w:t>
      </w:r>
      <w:r>
        <w:rPr>
          <w:bCs/>
          <w:b/>
        </w:rPr>
        <w:t xml:space="preserve">code-point-exact string equality on every binding dimension</w:t>
      </w:r>
      <w:r>
        <w:t xml:space="preserve">. No normalization, no case folding, no whitespace trimming, no homoglyph mapping, and</w:t>
      </w:r>
      <w:r>
        <w:t xml:space="preserve"> </w:t>
      </w:r>
      <w:r>
        <w:rPr>
          <w:bCs/>
          <w:b/>
        </w:rPr>
        <w:t xml:space="preserve">no privilege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superset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reasoning</w:t>
      </w:r>
      <w:r>
        <w:t xml:space="preserve"> </w:t>
      </w:r>
      <w:r>
        <w:t xml:space="preserve">(a broader role is still a</w:t>
      </w:r>
      <w:r>
        <w:t xml:space="preserve"> </w:t>
      </w:r>
      <w:r>
        <w:rPr>
          <w:iCs/>
          <w:i/>
        </w:rPr>
        <w:t xml:space="preserve">different</w:t>
      </w:r>
      <w:r>
        <w:t xml:space="preserve"> </w:t>
      </w:r>
      <w:r>
        <w:t xml:space="preserve">action). Any mismatch → DENY (fail-closed).</w:t>
      </w:r>
    </w:p>
    <w:bookmarkEnd w:id="24"/>
    <w:bookmarkStart w:id="25" w:name="metrics"/>
    <w:p>
      <w:pPr>
        <w:pStyle w:val="Heading3"/>
      </w:pPr>
      <w:r>
        <w:t xml:space="preserve">Metrics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g_allow_exact</w:t>
      </w:r>
      <w:r>
        <w:t xml:space="preserve"> </w:t>
      </w:r>
      <w:r>
        <w:t xml:space="preserve">= ALLOW rate on arm 1.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g_deny_mutation_min</w:t>
      </w:r>
      <w:r>
        <w:t xml:space="preserve"> </w:t>
      </w:r>
      <w:r>
        <w:t xml:space="preserve">= minimum DENY rate across arms 2–8.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g_margin</w:t>
      </w:r>
      <w:r>
        <w:t xml:space="preserve"> </w:t>
      </w:r>
      <w:r>
        <w:t xml:space="preserve">= min(</w:t>
      </w:r>
      <w:r>
        <w:rPr>
          <w:rStyle w:val="VerbatimChar"/>
        </w:rPr>
        <w:t xml:space="preserve">g_allow_exact</w:t>
      </w:r>
      <w:r>
        <w:t xml:space="preserve">,</w:t>
      </w:r>
      <w:r>
        <w:t xml:space="preserve"> </w:t>
      </w:r>
      <w:r>
        <w:rPr>
          <w:rStyle w:val="VerbatimChar"/>
        </w:rPr>
        <w:t xml:space="preserve">g_deny_mutation_min</w:t>
      </w:r>
      <w:r>
        <w:t xml:space="preserve">) − 0.05.</w:t>
      </w:r>
    </w:p>
    <w:p>
      <w:pPr>
        <w:numPr>
          <w:ilvl w:val="0"/>
          <w:numId w:val="1003"/>
        </w:numPr>
        <w:pStyle w:val="Compact"/>
      </w:pPr>
      <w:r>
        <w:t xml:space="preserve">Secondary: V1↔V2 decision concordance (target 100%).</w:t>
      </w:r>
    </w:p>
    <w:bookmarkEnd w:id="25"/>
    <w:bookmarkStart w:id="26" w:name="pass-criteria-fixed-before-execution"/>
    <w:p>
      <w:pPr>
        <w:pStyle w:val="Heading3"/>
      </w:pPr>
      <w:r>
        <w:t xml:space="preserve">Pass criteria (fixed before execution)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C1:</w:t>
      </w:r>
      <w:r>
        <w:t xml:space="preserve"> </w:t>
      </w:r>
      <w:r>
        <w:rPr>
          <w:rStyle w:val="VerbatimChar"/>
        </w:rPr>
        <w:t xml:space="preserve">g_allow_exact</w:t>
      </w:r>
      <w:r>
        <w:t xml:space="preserve"> </w:t>
      </w:r>
      <w:r>
        <w:t xml:space="preserve">≥ 0.95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C2:</w:t>
      </w:r>
      <w:r>
        <w:t xml:space="preserve"> </w:t>
      </w:r>
      <w:r>
        <w:rPr>
          <w:rStyle w:val="VerbatimChar"/>
        </w:rPr>
        <w:t xml:space="preserve">g_deny_mutation_min</w:t>
      </w:r>
      <w:r>
        <w:t xml:space="preserve"> </w:t>
      </w:r>
      <w:r>
        <w:t xml:space="preserve">≥ 0.95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C3:</w:t>
      </w:r>
      <w:r>
        <w:t xml:space="preserve"> </w:t>
      </w:r>
      <w:r>
        <w:rPr>
          <w:rStyle w:val="VerbatimChar"/>
        </w:rPr>
        <w:t xml:space="preserve">g_margin</w:t>
      </w:r>
      <w:r>
        <w:t xml:space="preserve"> </w:t>
      </w:r>
      <w:r>
        <w:t xml:space="preserve">≥ 0.90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Verdict = PASS</w:t>
      </w:r>
      <w:r>
        <w:t xml:space="preserve"> </w:t>
      </w:r>
      <w:r>
        <w:t xml:space="preserve">iff C1 ∧ C2 ∧ C3, else FAIL. Result is published either way.</w:t>
      </w:r>
    </w:p>
    <w:bookmarkEnd w:id="26"/>
    <w:bookmarkStart w:id="27" w:name="kill-conditions-effectiveness-gate"/>
    <w:p>
      <w:pPr>
        <w:pStyle w:val="Heading3"/>
      </w:pPr>
      <w:r>
        <w:t xml:space="preserve">Kill conditions / effectiveness gate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Effectiveness oracle:</w:t>
      </w:r>
      <w:r>
        <w:t xml:space="preserve"> </w:t>
      </w:r>
      <w:r>
        <w:t xml:space="preserve">every attack-arm scenario must genuinely differ from the approved action; the baseline must be a true exact match; arm 2 must be a</w:t>
      </w:r>
      <w:r>
        <w:t xml:space="preserve"> </w:t>
      </w:r>
      <w:r>
        <w:rPr>
          <w:iCs/>
          <w:i/>
        </w:rPr>
        <w:t xml:space="preserve">strict</w:t>
      </w:r>
      <w:r>
        <w:t xml:space="preserve"> </w:t>
      </w:r>
      <w:r>
        <w:t xml:space="preserve">escalation; arm 8 must be</w:t>
      </w:r>
      <w:r>
        <w:t xml:space="preserve"> </w:t>
      </w:r>
      <w:r>
        <w:rPr>
          <w:iCs/>
          <w:i/>
        </w:rPr>
        <w:t xml:space="preserve">confusable</w:t>
      </w:r>
      <w:r>
        <w:t xml:space="preserve"> </w:t>
      </w:r>
      <w:r>
        <w:t xml:space="preserve">under a lenient normalizer. Any violation ⇒ ABORT (no verdict).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Kill-gate (negative control):</w:t>
      </w:r>
      <w:r>
        <w:t xml:space="preserve"> </w:t>
      </w:r>
      <w:r>
        <w:t xml:space="preserve">a deliberately lenient comparator must be shown to wrongly ALLOW a detectable number of mutations — proving the testbed is falsifiable. If nothing can fail the test, the test is void.</w:t>
      </w:r>
    </w:p>
    <w:bookmarkEnd w:id="27"/>
    <w:bookmarkStart w:id="28" w:name="publication-rule"/>
    <w:p>
      <w:pPr>
        <w:pStyle w:val="Heading3"/>
      </w:pPr>
      <w:r>
        <w:t xml:space="preserve">Publication rule</w:t>
      </w:r>
    </w:p>
    <w:p>
      <w:pPr>
        <w:pStyle w:val="FirstParagraph"/>
      </w:pPr>
      <w:r>
        <w:t xml:space="preserve">The outcome (PASS, FAIL, or ABORT) will be published to GitHub with raw per-arm results, and defensively published to Zenodo (CC BY 4.0), regardless of verdict.</w:t>
      </w:r>
    </w:p>
    <w:bookmarkEnd w:id="28"/>
    <w:bookmarkStart w:id="29" w:name="honest-bounds"/>
    <w:p>
      <w:pPr>
        <w:pStyle w:val="Heading3"/>
      </w:pPr>
      <w:r>
        <w:t xml:space="preserve">Honest bounds</w:t>
      </w:r>
    </w:p>
    <w:p>
      <w:pPr>
        <w:numPr>
          <w:ilvl w:val="0"/>
          <w:numId w:val="1006"/>
        </w:numPr>
        <w:pStyle w:val="Compact"/>
      </w:pPr>
      <w:r>
        <w:t xml:space="preserve">Classical software test of</w:t>
      </w:r>
      <w:r>
        <w:t xml:space="preserve"> </w:t>
      </w:r>
      <w:r>
        <w:rPr>
          <w:bCs/>
          <w:b/>
        </w:rPr>
        <w:t xml:space="preserve">authorization control logic</w:t>
      </w:r>
      <w:r>
        <w:t xml:space="preserve">, not a test of AWS, not a cryptographic security proof, not a production-readiness certification.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permission_set</w:t>
      </w:r>
      <w:r>
        <w:t xml:space="preserve"> </w:t>
      </w:r>
      <w:r>
        <w:t xml:space="preserve">is a plain SHA-256 stand-in for</w:t>
      </w:r>
      <w:r>
        <w:t xml:space="preserve"> </w:t>
      </w:r>
      <w:r>
        <w:t xml:space="preserve">“</w:t>
      </w:r>
      <w:r>
        <w:t xml:space="preserve">the exact policy document</w:t>
      </w:r>
      <w:r>
        <w:t xml:space="preserve">”</w:t>
      </w:r>
      <w:r>
        <w:t xml:space="preserve">; it is an identity token for the effective scope, not a security primitive.</w:t>
      </w:r>
    </w:p>
    <w:p>
      <w:pPr>
        <w:numPr>
          <w:ilvl w:val="0"/>
          <w:numId w:val="1006"/>
        </w:numPr>
        <w:pStyle w:val="Compact"/>
      </w:pPr>
      <w:r>
        <w:t xml:space="preserve">Results are bounded to this scenario model, these arms, and this seed family.</w:t>
      </w:r>
    </w:p>
    <w:p>
      <w:pPr>
        <w:numPr>
          <w:ilvl w:val="0"/>
          <w:numId w:val="1006"/>
        </w:numPr>
        <w:pStyle w:val="Compact"/>
      </w:pPr>
      <w:r>
        <w:t xml:space="preserve">No claim that this experiment legally validates any patent claim or certifies RF-100 conformance.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Preregistered under the Remnant Fieldworks Standing Covenant (preregister → lock → execute → publish all outcomes). To God be the glory. Proof Before Power. Verification Before Execution.</w:t>
      </w:r>
    </w:p>
    <w:bookmarkEnd w:id="29"/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2026-07-18T18:13:43Z</dcterms:created>
  <dcterms:modified xsi:type="dcterms:W3CDTF">2026-07-18T18:13:43Z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