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rk-458-results"/>
    <w:p>
      <w:pPr>
        <w:pStyle w:val="Heading1"/>
      </w:pPr>
      <w:r>
        <w:t xml:space="preserve">ARK-458 — Results</w:t>
      </w:r>
    </w:p>
    <w:bookmarkStart w:id="27" w:name="X7ad0726f503cead32ae5a0eb6fc5ca698721b5a"/>
    <w:p>
      <w:pPr>
        <w:pStyle w:val="Heading2"/>
      </w:pPr>
      <w:r>
        <w:t xml:space="preserve">Cloud IAM Role Grant · Exact-Action Binding</w:t>
      </w:r>
    </w:p>
    <w:p>
      <w:pPr>
        <w:pStyle w:val="FirstParagraph"/>
      </w:pPr>
      <w:r>
        <w:rPr>
          <w:bCs/>
          <w:b/>
        </w:rPr>
        <w:t xml:space="preserve">Verdict: PASS</w:t>
      </w:r>
      <w:r>
        <w:t xml:space="preserve"> </w:t>
      </w:r>
      <w:r>
        <w:rPr>
          <w:bCs/>
          <w:b/>
        </w:rPr>
        <w:t xml:space="preserve">Executed:</w:t>
      </w:r>
      <w:r>
        <w:t xml:space="preserve"> </w:t>
      </w:r>
      <w:r>
        <w:t xml:space="preserve">2026-07-18T18:13:54Z UTC (post-lock)</w:t>
      </w:r>
      <w:r>
        <w:t xml:space="preserve"> </w:t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(no quantum hardware, no cryptographic security claim)</w:t>
      </w:r>
      <w:r>
        <w:t xml:space="preserve"> </w:t>
      </w:r>
      <w:r>
        <w:rPr>
          <w:bCs/>
          <w:b/>
        </w:rPr>
        <w:t xml:space="preserve">Guards:</w:t>
      </w:r>
      <w:r>
        <w:t xml:space="preserve"> </w:t>
      </w:r>
      <w:r>
        <w:t xml:space="preserve">Dual independent — V1 (JavaScript), V2 (Python)</w:t>
      </w:r>
    </w:p>
    <w:p>
      <w:r>
        <w:pict>
          <v:rect style="width:0;height:1.5pt" o:hralign="center" o:hrstd="t" o:hr="t"/>
        </w:pict>
      </w:r>
    </w:p>
    <w:bookmarkStart w:id="20" w:name="headline"/>
    <w:p>
      <w:pPr>
        <w:pStyle w:val="Heading3"/>
      </w:pPr>
      <w:r>
        <w:t xml:space="preserve">Headline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g_allow_exact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1.0000</w:t>
      </w:r>
      <w:r>
        <w:t xml:space="preserve"> </w:t>
      </w:r>
      <w:r>
        <w:t xml:space="preserve">(C1 ≥ 0.95 ✓)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g_deny_mutation_min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1.0000</w:t>
      </w:r>
      <w:r>
        <w:t xml:space="preserve"> </w:t>
      </w:r>
      <w:r>
        <w:t xml:space="preserve">(C2 ≥ 0.95 ✓)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g_margin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0.9500</w:t>
      </w:r>
      <w:r>
        <w:t xml:space="preserve"> </w:t>
      </w:r>
      <w:r>
        <w:t xml:space="preserve">(C3 ≥ 0.90 ✓)</w:t>
      </w:r>
    </w:p>
    <w:p>
      <w:pPr>
        <w:numPr>
          <w:ilvl w:val="0"/>
          <w:numId w:val="1001"/>
        </w:numPr>
        <w:pStyle w:val="Compact"/>
      </w:pPr>
      <w:r>
        <w:t xml:space="preserve">Dual-guard concordance:</w:t>
      </w:r>
      <w:r>
        <w:t xml:space="preserve"> </w:t>
      </w:r>
      <w:r>
        <w:rPr>
          <w:bCs/>
          <w:b/>
        </w:rPr>
        <w:t xml:space="preserve">800/800 = 100.00%</w:t>
      </w:r>
    </w:p>
    <w:p>
      <w:pPr>
        <w:numPr>
          <w:ilvl w:val="0"/>
          <w:numId w:val="1001"/>
        </w:numPr>
        <w:pStyle w:val="Compact"/>
      </w:pPr>
      <w:r>
        <w:t xml:space="preserve">Every one of the 700 mutated IAM actions across arms 2–8 was</w:t>
      </w:r>
      <w:r>
        <w:t xml:space="preserve"> </w:t>
      </w:r>
      <w:r>
        <w:rPr>
          <w:bCs/>
          <w:b/>
        </w:rPr>
        <w:t xml:space="preserve">DENIED</w:t>
      </w:r>
      <w:r>
        <w:t xml:space="preserve">; every exact match in arm 1 was</w:t>
      </w:r>
      <w:r>
        <w:t xml:space="preserve"> </w:t>
      </w:r>
      <w:r>
        <w:rPr>
          <w:bCs/>
          <w:b/>
        </w:rPr>
        <w:t xml:space="preserve">ALLOWED</w:t>
      </w:r>
      <w:r>
        <w:t xml:space="preserve">.</w:t>
      </w:r>
    </w:p>
    <w:bookmarkEnd w:id="20"/>
    <w:bookmarkStart w:id="21" w:name="per-arm-readout-100-scenarios-each"/>
    <w:p>
      <w:pPr>
        <w:pStyle w:val="Heading3"/>
      </w:pPr>
      <w:r>
        <w:t xml:space="preserve">Per-arm readout (100 scenarios each)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V1↔V2 concordance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BASELINE-exact-action-match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PRINCIPAL-SWAP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ACCOUNT-SWAP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PERMISSION-EXPANSION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CONDITION-STRIP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MULTI-DIM-TAMPER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CONFUSABLE-NEAR-MATCH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21"/>
    <w:bookmarkStart w:id="22" w:name="kill-gate-negative-control"/>
    <w:p>
      <w:pPr>
        <w:pStyle w:val="Heading3"/>
      </w:pPr>
      <w:r>
        <w:t xml:space="preserve">Kill-gate (negative control)</w:t>
      </w:r>
    </w:p>
    <w:p>
      <w:pPr>
        <w:pStyle w:val="FirstParagraph"/>
      </w:pPr>
      <w:r>
        <w:t xml:space="preserve">A deliberately lenient comparator (case/whitespace-folding, homoglyph-mapping, ignoring the effective-policy hash, and accepting any</w:t>
      </w:r>
      <w:r>
        <w:t xml:space="preserve"> </w:t>
      </w:r>
      <w:r>
        <w:t xml:space="preserve">“</w:t>
      </w:r>
      <w:r>
        <w:t xml:space="preserve">at-least-as-privileged</w:t>
      </w:r>
      <w:r>
        <w:t xml:space="preserve">”</w:t>
      </w:r>
      <w:r>
        <w:t xml:space="preserve"> </w:t>
      </w:r>
      <w:r>
        <w:t xml:space="preserve">role) was run against the same 700 attack scenarios. It</w:t>
      </w:r>
      <w:r>
        <w:t xml:space="preserve"> </w:t>
      </w:r>
      <w:r>
        <w:rPr>
          <w:bCs/>
          <w:b/>
        </w:rPr>
        <w:t xml:space="preserve">wrongly ALLOWED 281/700</w:t>
      </w:r>
      <w:r>
        <w:t xml:space="preserve"> </w:t>
      </w:r>
      <w:r>
        <w:t xml:space="preserve">mutated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Bad-guard wrong-allows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ROLE-ESCALATION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PERMISSION-EXPANSION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MULTI-DIM-TAMPER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CONFUSABLE-NEAR-MATCH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</w:tr>
    </w:tbl>
    <w:p>
      <w:pPr>
        <w:pStyle w:val="BodyText"/>
      </w:pPr>
      <w:r>
        <w:t xml:space="preserve">This confirms the testbed is</w:t>
      </w:r>
      <w:r>
        <w:t xml:space="preserve"> </w:t>
      </w:r>
      <w:r>
        <w:rPr>
          <w:bCs/>
          <w:b/>
        </w:rPr>
        <w:t xml:space="preserve">falsifiable</w:t>
      </w:r>
      <w:r>
        <w:t xml:space="preserve"> </w:t>
      </w:r>
      <w:r>
        <w:t xml:space="preserve">— the arms are genuine attacks that a naive guard fails, and the exact-action-binding guard’s clean sweep is meaningful rather than trivial. (Full detail in</w:t>
      </w:r>
      <w:r>
        <w:t xml:space="preserve"> </w:t>
      </w:r>
      <w:r>
        <w:rPr>
          <w:rStyle w:val="VerbatimChar"/>
        </w:rPr>
        <w:t xml:space="preserve">results/killgate_results.json</w:t>
      </w:r>
      <w:r>
        <w:t xml:space="preserve">.)</w:t>
      </w:r>
    </w:p>
    <w:bookmarkEnd w:id="22"/>
    <w:bookmarkStart w:id="23" w:name="effectiveness-gate"/>
    <w:p>
      <w:pPr>
        <w:pStyle w:val="Heading3"/>
      </w:pPr>
      <w:r>
        <w:t xml:space="preserve">Effectiveness gate</w:t>
      </w:r>
    </w:p>
    <w:p>
      <w:pPr>
        <w:pStyle w:val="FirstParagraph"/>
      </w:pPr>
      <w:r>
        <w:t xml:space="preserve">All 800 scenarios passed the effectiveness oracle: every attack arm genuinely mutated the action, arm 2 was a strict privilege escalation in every case, arm 8 was confusable-under-normalization in every case, and arm 1 was a true exact match.</w:t>
      </w:r>
    </w:p>
    <w:bookmarkEnd w:id="23"/>
    <w:bookmarkStart w:id="24" w:name="what-this-shows-bounded"/>
    <w:p>
      <w:pPr>
        <w:pStyle w:val="Heading3"/>
      </w:pPr>
      <w:r>
        <w:t xml:space="preserve">What this shows (bounded)</w:t>
      </w:r>
    </w:p>
    <w:p>
      <w:pPr>
        <w:pStyle w:val="FirstParagraph"/>
      </w:pPr>
      <w:r>
        <w:t xml:space="preserve">Within this scenario model, an ExecutionProof exact-action-binding guard authorizes an IAM role grant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when the execution action is byte-identical to the approved action across all five binding dimensions, and</w:t>
      </w:r>
      <w:r>
        <w:t xml:space="preserve"> </w:t>
      </w:r>
      <w:r>
        <w:rPr>
          <w:bCs/>
          <w:b/>
        </w:rPr>
        <w:t xml:space="preserve">fails closed</w:t>
      </w:r>
      <w:r>
        <w:t xml:space="preserve"> </w:t>
      </w:r>
      <w:r>
        <w:t xml:space="preserve">on every mutation — including the two failure modes a lenient comparator most often gets wrong:</w:t>
      </w:r>
      <w:r>
        <w:t xml:space="preserve"> </w:t>
      </w:r>
      <w:r>
        <w:rPr>
          <w:bCs/>
          <w:b/>
        </w:rPr>
        <w:t xml:space="preserve">privilege escalation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confusable near-matches</w:t>
      </w:r>
      <w:r>
        <w:t xml:space="preserve">. Two independent implementations agreed on all 800 decisions.</w:t>
      </w:r>
    </w:p>
    <w:bookmarkEnd w:id="24"/>
    <w:bookmarkStart w:id="25" w:name="honest-bounds-what-this-does-not-show"/>
    <w:p>
      <w:pPr>
        <w:pStyle w:val="Heading3"/>
      </w:pPr>
      <w:r>
        <w:t xml:space="preserve">Honest bounds / what this does NOT show</w:t>
      </w:r>
    </w:p>
    <w:p>
      <w:pPr>
        <w:numPr>
          <w:ilvl w:val="0"/>
          <w:numId w:val="1002"/>
        </w:numPr>
        <w:pStyle w:val="Compact"/>
      </w:pPr>
      <w:r>
        <w:t xml:space="preserve">This is a classical test of</w:t>
      </w:r>
      <w:r>
        <w:t xml:space="preserve"> </w:t>
      </w:r>
      <w:r>
        <w:rPr>
          <w:bCs/>
          <w:b/>
        </w:rPr>
        <w:t xml:space="preserve">authorization control logic</w:t>
      </w:r>
      <w:r>
        <w:t xml:space="preserve">, not a test of AWS IAM itself, not a cryptographic security proof, and not a production-readiness or RF-100 conformance certification.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permission_set</w:t>
      </w:r>
      <w:r>
        <w:t xml:space="preserve"> </w:t>
      </w:r>
      <w:r>
        <w:t xml:space="preserve">is a plain SHA-256 identity token for</w:t>
      </w:r>
      <w:r>
        <w:t xml:space="preserve"> </w:t>
      </w:r>
      <w:r>
        <w:t xml:space="preserve">“</w:t>
      </w:r>
      <w:r>
        <w:t xml:space="preserve">the exact policy body,</w:t>
      </w:r>
      <w:r>
        <w:t xml:space="preserve">”</w:t>
      </w:r>
      <w:r>
        <w:t xml:space="preserve"> </w:t>
      </w:r>
      <w:r>
        <w:t xml:space="preserve">not a security primitive.</w:t>
      </w:r>
    </w:p>
    <w:p>
      <w:pPr>
        <w:numPr>
          <w:ilvl w:val="0"/>
          <w:numId w:val="1002"/>
        </w:numPr>
        <w:pStyle w:val="Compact"/>
      </w:pPr>
      <w:r>
        <w:t xml:space="preserve">Results are bounded to this scenario model, these eight arms, and this seed family.</w:t>
      </w:r>
    </w:p>
    <w:p>
      <w:pPr>
        <w:numPr>
          <w:ilvl w:val="0"/>
          <w:numId w:val="1002"/>
        </w:numPr>
        <w:pStyle w:val="Compact"/>
      </w:pPr>
      <w:r>
        <w:t xml:space="preserve">This experiment provides dated</w:t>
      </w:r>
      <w:r>
        <w:t xml:space="preserve"> </w:t>
      </w:r>
      <w:r>
        <w:rPr>
          <w:bCs/>
          <w:b/>
        </w:rPr>
        <w:t xml:space="preserve">working-example</w:t>
      </w:r>
      <w:r>
        <w:t xml:space="preserve"> </w:t>
      </w:r>
      <w:r>
        <w:t xml:space="preserve">evidence for disclosed mechanisms;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legally validate any patent claim and adds no new matter to any filed application.</w:t>
      </w:r>
    </w:p>
    <w:bookmarkEnd w:id="25"/>
    <w:bookmarkStart w:id="26" w:name="reproduce"/>
    <w:p>
      <w:pPr>
        <w:pStyle w:val="Heading3"/>
      </w:pPr>
      <w:r>
        <w:t xml:space="preserve">Reproduce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ark-458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dual-guard V1 requires Node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run_killgate.py   </w:t>
      </w:r>
      <w:r>
        <w:rPr>
          <w:rStyle w:val="CommentTok"/>
        </w:rPr>
        <w:t xml:space="preserve"># negative control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run_arms.py       </w:t>
      </w:r>
      <w:r>
        <w:rPr>
          <w:rStyle w:val="CommentTok"/>
        </w:rPr>
        <w:t xml:space="preserve"># 8 arms × 100 scenarios, dual guards</w:t>
      </w:r>
      <w:r>
        <w:br/>
      </w:r>
      <w:r>
        <w:rPr>
          <w:rStyle w:val="ExtensionTok"/>
        </w:rPr>
        <w:t xml:space="preserve">./compute_hashes.sh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verify locked files match MANIFEST.txt</w:t>
      </w:r>
    </w:p>
    <w:p>
      <w:pPr>
        <w:pStyle w:val="FirstParagraph"/>
      </w:pPr>
      <w:r>
        <w:t xml:space="preserve">Artifacts:</w:t>
      </w:r>
      <w:r>
        <w:t xml:space="preserve"> </w:t>
      </w:r>
      <w:r>
        <w:rPr>
          <w:rStyle w:val="VerbatimChar"/>
        </w:rPr>
        <w:t xml:space="preserve">results/arm_1_results.json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results/arm_8_results.json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results/overall_results.json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results/killgate_results.json</w:t>
      </w:r>
      <w:r>
        <w:t xml:space="preserve">, and per-arm</w:t>
      </w:r>
      <w:r>
        <w:t xml:space="preserve"> </w:t>
      </w:r>
      <w:r>
        <w:rPr>
          <w:rStyle w:val="VerbatimChar"/>
        </w:rPr>
        <w:t xml:space="preserve">results/arm_N_scenarios.json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To God be the glory. Proof Before Power. Verification Before Execution.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2026-07-18T18:14:24Z</dcterms:created>
  <dcterms:modified xsi:type="dcterms:W3CDTF">2026-07-18T18:14:24Z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