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10f32ab781bdb2885f82b452e5467ee2ce780a5"/>
    <w:p>
      <w:pPr>
        <w:pStyle w:val="Heading1"/>
      </w:pPr>
      <w:r>
        <w:t xml:space="preserve">P01 Production-Boundary Series — Completion Report</w:t>
      </w:r>
    </w:p>
    <w:bookmarkStart w:id="20" w:name="X01c2f3e685310a778d615215b27d041883193cb"/>
    <w:p>
      <w:pPr>
        <w:pStyle w:val="Heading2"/>
      </w:pPr>
      <w:r>
        <w:t xml:space="preserve">ARK-458 through ARK-482: Complete Real-World Authorization Testing</w:t>
      </w:r>
    </w:p>
    <w:p>
      <w:pPr>
        <w:pStyle w:val="FirstParagraph"/>
      </w:pPr>
      <w:r>
        <w:rPr>
          <w:bCs/>
          <w:b/>
        </w:rPr>
        <w:t xml:space="preserve">Execution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— 25/25 experiments PASS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Remnant Fieldworks Inc.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P01 Production-Boundary Series represents Remnant Fieldworks’ first comprehensive testing of ExecutionProof authorization boundaries against real-world failure modes. Over the course of a single day (2026-07-18), we executed</w:t>
      </w:r>
      <w:r>
        <w:t xml:space="preserve"> </w:t>
      </w:r>
      <w:r>
        <w:rPr>
          <w:bCs/>
          <w:b/>
        </w:rPr>
        <w:t xml:space="preserve">25 experiments</w:t>
      </w:r>
      <w:r>
        <w:t xml:space="preserve"> </w:t>
      </w:r>
      <w:r>
        <w:t xml:space="preserve">testing</w:t>
      </w:r>
      <w:r>
        <w:t xml:space="preserve"> </w:t>
      </w:r>
      <w:r>
        <w:rPr>
          <w:bCs/>
          <w:b/>
        </w:rPr>
        <w:t xml:space="preserve">20,000 authorization decisions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5 critical production domains</w:t>
      </w:r>
      <w:r>
        <w:t xml:space="preserve">.</w:t>
      </w:r>
    </w:p>
    <w:bookmarkStart w:id="21" w:name="key-achievements"/>
    <w:p>
      <w:pPr>
        <w:pStyle w:val="Heading3"/>
      </w:pPr>
      <w:r>
        <w:t xml:space="preserve">Key Achievements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100% Success Rate:</w:t>
      </w:r>
      <w:r>
        <w:t xml:space="preserve"> </w:t>
      </w:r>
      <w:r>
        <w:t xml:space="preserve">All 25 experiments achieved PASS verdicts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Perfect Concordance:</w:t>
      </w:r>
      <w:r>
        <w:t xml:space="preserve"> </w:t>
      </w:r>
      <w:r>
        <w:t xml:space="preserve">20,000/20,000 dual-guard agreement (100%)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Fully Falsifiable:</w:t>
      </w:r>
      <w:r>
        <w:t xml:space="preserve"> </w:t>
      </w:r>
      <w:r>
        <w:t xml:space="preserve">All experiments include kill-gates that successfully detected broken guards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Full Provenance:</w:t>
      </w:r>
      <w:r>
        <w:t xml:space="preserve"> </w:t>
      </w:r>
      <w:r>
        <w:t xml:space="preserve">All 25 experiments published to Zenodo with DOI badges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Covenant Compliance:</w:t>
      </w:r>
      <w:r>
        <w:t xml:space="preserve"> </w:t>
      </w:r>
      <w:r>
        <w:t xml:space="preserve">100% adherence to RF Standing Covenant (preregistration, locks, honest reporting)</w:t>
      </w:r>
    </w:p>
    <w:bookmarkEnd w:id="21"/>
    <w:bookmarkStart w:id="22" w:name="quantitative-summary"/>
    <w:p>
      <w:pPr>
        <w:pStyle w:val="Heading3"/>
      </w:pPr>
      <w:r>
        <w:t xml:space="preserve">Quantitative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Experiments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 Decisions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Dual-Guard 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20,000/20,000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Kill-Gate Wrong-Allows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5,306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Zenodo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with DOI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commits across 5 branches, all merged to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hours (single day)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p01-scope-and-objectives"/>
    <w:p>
      <w:pPr>
        <w:pStyle w:val="Heading2"/>
      </w:pPr>
      <w:r>
        <w:t xml:space="preserve">P01 SCOPE AND OBJECTIVES</w:t>
      </w:r>
    </w:p>
    <w:bookmarkStart w:id="24" w:name="primary-goal"/>
    <w:p>
      <w:pPr>
        <w:pStyle w:val="Heading3"/>
      </w:pPr>
      <w:r>
        <w:t xml:space="preserve">Primary Goal</w:t>
      </w:r>
    </w:p>
    <w:p>
      <w:pPr>
        <w:pStyle w:val="FirstParagraph"/>
      </w:pPr>
      <w:r>
        <w:t xml:space="preserve">Test whether ExecutionProof authorization boundaries correctly govern real-world production operations across multiple domains, preventing unauthorized actions without unjustified ALLOW verdicts.</w:t>
      </w:r>
    </w:p>
    <w:bookmarkEnd w:id="24"/>
    <w:bookmarkStart w:id="25" w:name="tested-domains"/>
    <w:p>
      <w:pPr>
        <w:pStyle w:val="Heading3"/>
      </w:pPr>
      <w:r>
        <w:t xml:space="preserve">Tested Domains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IAM Role Grant</w:t>
      </w:r>
      <w:r>
        <w:t xml:space="preserve"> </w:t>
      </w:r>
      <w:r>
        <w:t xml:space="preserve">(ARK-458–462): Infrastructure authorization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Deployment</w:t>
      </w:r>
      <w:r>
        <w:t xml:space="preserve"> </w:t>
      </w:r>
      <w:r>
        <w:t xml:space="preserve">(ARK-463–467): Software release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Destructive Query</w:t>
      </w:r>
      <w:r>
        <w:t xml:space="preserve"> </w:t>
      </w:r>
      <w:r>
        <w:t xml:space="preserve">(ARK-468–472): Data protection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Financial Transaction</w:t>
      </w:r>
      <w:r>
        <w:t xml:space="preserve"> </w:t>
      </w:r>
      <w:r>
        <w:t xml:space="preserve">(ARK-473–477): Monetary operations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Rate Limit</w:t>
      </w:r>
      <w:r>
        <w:t xml:space="preserve"> </w:t>
      </w:r>
      <w:r>
        <w:t xml:space="preserve">(ARK-478–482): Access control</w:t>
      </w:r>
    </w:p>
    <w:bookmarkEnd w:id="25"/>
    <w:bookmarkStart w:id="26" w:name="critical-failure-modes-tested"/>
    <w:p>
      <w:pPr>
        <w:pStyle w:val="Heading3"/>
      </w:pPr>
      <w:r>
        <w:t xml:space="preserve">Critical Failure Modes Tested</w:t>
      </w:r>
    </w:p>
    <w:p>
      <w:pPr>
        <w:pStyle w:val="FirstParagraph"/>
      </w:pPr>
      <w:r>
        <w:t xml:space="preserve">Each domain was tested against</w:t>
      </w:r>
      <w:r>
        <w:t xml:space="preserve"> </w:t>
      </w:r>
      <w:r>
        <w:rPr>
          <w:bCs/>
          <w:b/>
        </w:rPr>
        <w:t xml:space="preserve">5 critical failure modes</w:t>
      </w:r>
      <w:r>
        <w:t xml:space="preserve"> </w:t>
      </w:r>
      <w:r>
        <w:t xml:space="preserve">that represent real security vulnerabilities: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Exact-Action Binding:</w:t>
      </w:r>
      <w:r>
        <w:t xml:space="preserve"> </w:t>
      </w:r>
      <w:r>
        <w:t xml:space="preserve">Can authorization be bypassed by mutating action parameters?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Revocation At Execution:</w:t>
      </w:r>
      <w:r>
        <w:t xml:space="preserve"> </w:t>
      </w:r>
      <w:r>
        <w:t xml:space="preserve">Does the system handle in-flight authorization revocation correctly?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Loss:</w:t>
      </w:r>
      <w:r>
        <w:t xml:space="preserve"> </w:t>
      </w:r>
      <w:r>
        <w:t xml:space="preserve">Does the system fail-closed when critical dependencies become unavailable?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Cross-Context Replay:</w:t>
      </w:r>
      <w:r>
        <w:t xml:space="preserve"> </w:t>
      </w:r>
      <w:r>
        <w:t xml:space="preserve">Can authorization from one context be replayed in another?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 Escalation:</w:t>
      </w:r>
      <w:r>
        <w:t xml:space="preserve"> </w:t>
      </w:r>
      <w:r>
        <w:t xml:space="preserve">Can high-risk operations proceed without required human approval?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etailed-results-by-series"/>
    <w:p>
      <w:pPr>
        <w:pStyle w:val="Heading2"/>
      </w:pPr>
      <w:r>
        <w:t xml:space="preserve">DETAILED RESULTS BY SERIES</w:t>
      </w:r>
    </w:p>
    <w:bookmarkStart w:id="28" w:name="series-1-cloud-iam-role-grant-ark-458462"/>
    <w:p>
      <w:pPr>
        <w:pStyle w:val="Heading3"/>
      </w:pPr>
      <w:r>
        <w:t xml:space="preserve">Series 1: Cloud IAM Role Grant (ARK-458–462)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AWS/Azure/GCP-style IAM role grant authorization</w:t>
      </w:r>
      <w:r>
        <w:br/>
      </w:r>
      <w:r>
        <w:rPr>
          <w:bCs/>
          <w:b/>
        </w:rPr>
        <w:t xml:space="preserve">Action Tuple:</w:t>
      </w:r>
      <w:r>
        <w:t xml:space="preserve"> </w:t>
      </w:r>
      <w:r>
        <w:rPr>
          <w:rStyle w:val="VerbatimChar"/>
        </w:rPr>
        <w:t xml:space="preserve">(principal_id, role_name, resource_arn, account_id, grant_action)</w:t>
      </w:r>
      <w:r>
        <w:br/>
      </w:r>
      <w:r>
        <w:rPr>
          <w:bCs/>
          <w:b/>
        </w:rPr>
        <w:t xml:space="preserve">Total Decisions:</w:t>
      </w:r>
      <w:r>
        <w:t xml:space="preserve"> </w:t>
      </w:r>
      <w:r>
        <w:t xml:space="preserve">4,000 (5 experiments × 800 decisions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1018"/>
        <w:gridCol w:w="1244"/>
        <w:gridCol w:w="1470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- Kill-gate wrong-allows detected:</w:t>
      </w:r>
      <w:r>
        <w:t xml:space="preserve"> </w:t>
      </w:r>
      <w:r>
        <w:rPr>
          <w:bCs/>
          <w:b/>
        </w:rPr>
        <w:t xml:space="preserve">806</w:t>
      </w:r>
      <w:r>
        <w:t xml:space="preserve"> </w:t>
      </w:r>
      <w:r>
        <w:t xml:space="preserve">(all experiments falsifiable)</w:t>
      </w:r>
      <w:r>
        <w:t xml:space="preserve"> </w:t>
      </w:r>
      <w:r>
        <w:t xml:space="preserve">- Perfect dual-guard concordance:</w:t>
      </w:r>
      <w:r>
        <w:t xml:space="preserve"> </w:t>
      </w:r>
      <w:r>
        <w:rPr>
          <w:bCs/>
          <w:b/>
        </w:rPr>
        <w:t xml:space="preserve">4,000/4,000</w:t>
      </w:r>
      <w:r>
        <w:t xml:space="preserve"> </w:t>
      </w:r>
      <w:r>
        <w:t xml:space="preserve">- All safety margins ≥0.9500 (required threshold: 0.90)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Exact-action binding prevents parameter mutation attacks</w:t>
      </w:r>
      <w:r>
        <w:t xml:space="preserve"> </w:t>
      </w:r>
      <w:r>
        <w:t xml:space="preserve">- Temporal revocation correctly handles in-flight revocation scenarios</w:t>
      </w:r>
      <w:r>
        <w:t xml:space="preserve"> </w:t>
      </w:r>
      <w:r>
        <w:t xml:space="preserve">- Fail-closed behavior maintained when PolicyRegistry, IdentityProvider, SignatureVerifier, or AuditLogger unavailable</w:t>
      </w:r>
      <w:r>
        <w:t xml:space="preserve"> </w:t>
      </w:r>
      <w:r>
        <w:t xml:space="preserve">- Cross-context replay prevented via 5-dimension context binding (tenant, session, resource, audience, environment)</w:t>
      </w:r>
      <w:r>
        <w:t xml:space="preserve"> </w:t>
      </w:r>
      <w:r>
        <w:t xml:space="preserve">- Human escalation enforced for high-risk operations</w:t>
      </w:r>
    </w:p>
    <w:p>
      <w:pPr>
        <w:pStyle w:val="BodyText"/>
      </w:pPr>
      <w:r>
        <w:rPr>
          <w:bCs/>
          <w:b/>
        </w:rPr>
        <w:t xml:space="preserve">DOIs:</w:t>
      </w:r>
      <w:r>
        <w:t xml:space="preserve"> </w:t>
      </w:r>
      <w:r>
        <w:t xml:space="preserve">10.5281/zenodo.21432645 through 10.5281/zenodo.21432889</w:t>
      </w:r>
    </w:p>
    <w:p>
      <w:r>
        <w:pict>
          <v:rect style="width:0;height:1.5pt" o:hralign="center" o:hrstd="t" o:hr="t"/>
        </w:pict>
      </w:r>
    </w:p>
    <w:bookmarkEnd w:id="28"/>
    <w:bookmarkStart w:id="29" w:name="X8032d0c950077017c511462517059cde6e3762c"/>
    <w:p>
      <w:pPr>
        <w:pStyle w:val="Heading3"/>
      </w:pPr>
      <w:r>
        <w:t xml:space="preserve">Series 2: Production Deployment (ARK-463–467)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Production software deployment authorization</w:t>
      </w:r>
      <w:r>
        <w:br/>
      </w:r>
      <w:r>
        <w:rPr>
          <w:bCs/>
          <w:b/>
        </w:rPr>
        <w:t xml:space="preserve">Action Tuple:</w:t>
      </w:r>
      <w:r>
        <w:t xml:space="preserve"> </w:t>
      </w:r>
      <w:r>
        <w:rPr>
          <w:rStyle w:val="VerbatimChar"/>
        </w:rPr>
        <w:t xml:space="preserve">(service_name, environment, version, deployment_type, approver_id)</w:t>
      </w:r>
      <w:r>
        <w:br/>
      </w:r>
      <w:r>
        <w:rPr>
          <w:bCs/>
          <w:b/>
        </w:rPr>
        <w:t xml:space="preserve">Total Decisions:</w:t>
      </w:r>
      <w:r>
        <w:t xml:space="preserve"> </w:t>
      </w:r>
      <w:r>
        <w:t xml:space="preserve">4,000 (5 experiments × 800 decisions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1018"/>
        <w:gridCol w:w="1244"/>
        <w:gridCol w:w="1470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- Kill-gate wrong-allows detected:</w:t>
      </w:r>
      <w:r>
        <w:t xml:space="preserve"> </w:t>
      </w:r>
      <w:r>
        <w:rPr>
          <w:bCs/>
          <w:b/>
        </w:rPr>
        <w:t xml:space="preserve">1,125</w:t>
      </w:r>
      <w:r>
        <w:t xml:space="preserve"> </w:t>
      </w:r>
      <w:r>
        <w:t xml:space="preserve">(perfect falsifiability)</w:t>
      </w:r>
      <w:r>
        <w:t xml:space="preserve"> </w:t>
      </w:r>
      <w:r>
        <w:t xml:space="preserve">- Perfect dual-guard concordance:</w:t>
      </w:r>
      <w:r>
        <w:t xml:space="preserve"> </w:t>
      </w:r>
      <w:r>
        <w:rPr>
          <w:bCs/>
          <w:b/>
        </w:rPr>
        <w:t xml:space="preserve">4,000/4,000</w:t>
      </w:r>
      <w:r>
        <w:t xml:space="preserve"> </w:t>
      </w:r>
      <w:r>
        <w:t xml:space="preserve">- Margin strength: ARK-463 achieved perfect g_margin=1.0000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Deployment authorization binds to exact service-environment-version tuple</w:t>
      </w:r>
      <w:r>
        <w:t xml:space="preserve"> </w:t>
      </w:r>
      <w:r>
        <w:t xml:space="preserve">- Production deployments correctly blocked during in-flight revocation</w:t>
      </w:r>
      <w:r>
        <w:t xml:space="preserve"> </w:t>
      </w:r>
      <w:r>
        <w:t xml:space="preserve">- Fail-closed when ArtifactRegistry, ChangeBoard, TestValidator, or AuditLogger unavailable</w:t>
      </w:r>
      <w:r>
        <w:t xml:space="preserve"> </w:t>
      </w:r>
      <w:r>
        <w:t xml:space="preserve">- Cross-environment deployment replay prevented</w:t>
      </w:r>
      <w:r>
        <w:t xml:space="preserve"> </w:t>
      </w:r>
      <w:r>
        <w:t xml:space="preserve">- Production deployments require human approval when flagged high-risk</w:t>
      </w:r>
    </w:p>
    <w:p>
      <w:pPr>
        <w:pStyle w:val="BodyText"/>
      </w:pPr>
      <w:r>
        <w:rPr>
          <w:bCs/>
          <w:b/>
        </w:rPr>
        <w:t xml:space="preserve">DOIs:</w:t>
      </w:r>
      <w:r>
        <w:t xml:space="preserve"> </w:t>
      </w:r>
      <w:r>
        <w:t xml:space="preserve">10.5281/zenodo.21433070 through 10.5281/zenodo.21433081</w:t>
      </w:r>
    </w:p>
    <w:p>
      <w:r>
        <w:pict>
          <v:rect style="width:0;height:1.5pt" o:hralign="center" o:hrstd="t" o:hr="t"/>
        </w:pict>
      </w:r>
    </w:p>
    <w:bookmarkEnd w:id="29"/>
    <w:bookmarkStart w:id="30" w:name="Xdfd21260921988f71c07d3c8d001bdcc3dbcb8b"/>
    <w:p>
      <w:pPr>
        <w:pStyle w:val="Heading3"/>
      </w:pPr>
      <w:r>
        <w:t xml:space="preserve">Series 3: Database Destructive Query (ARK-468–472)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Database DROP/DELETE/TRUNCATE operation authorization</w:t>
      </w:r>
      <w:r>
        <w:br/>
      </w:r>
      <w:r>
        <w:rPr>
          <w:bCs/>
          <w:b/>
        </w:rPr>
        <w:t xml:space="preserve">Action Tuple:</w:t>
      </w:r>
      <w:r>
        <w:t xml:space="preserve"> </w:t>
      </w:r>
      <w:r>
        <w:rPr>
          <w:rStyle w:val="VerbatimChar"/>
        </w:rPr>
        <w:t xml:space="preserve">(database_name, table_name, operation, schema_version, execution_mode)</w:t>
      </w:r>
      <w:r>
        <w:br/>
      </w:r>
      <w:r>
        <w:rPr>
          <w:bCs/>
          <w:b/>
        </w:rPr>
        <w:t xml:space="preserve">Total Decisions:</w:t>
      </w:r>
      <w:r>
        <w:t xml:space="preserve"> </w:t>
      </w:r>
      <w:r>
        <w:t xml:space="preserve">4,000 (5 experiments × 800 decisions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1018"/>
        <w:gridCol w:w="1244"/>
        <w:gridCol w:w="1470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- Kill-gate wrong-allows detected:</w:t>
      </w:r>
      <w:r>
        <w:t xml:space="preserve"> </w:t>
      </w:r>
      <w:r>
        <w:rPr>
          <w:bCs/>
          <w:b/>
        </w:rPr>
        <w:t xml:space="preserve">1,125</w:t>
      </w:r>
      <w:r>
        <w:t xml:space="preserve"> </w:t>
      </w:r>
      <w:r>
        <w:t xml:space="preserve">- Perfect dual-guard concordance:</w:t>
      </w:r>
      <w:r>
        <w:t xml:space="preserve"> </w:t>
      </w:r>
      <w:r>
        <w:rPr>
          <w:bCs/>
          <w:b/>
        </w:rPr>
        <w:t xml:space="preserve">4,000/4,000</w:t>
      </w:r>
      <w:r>
        <w:t xml:space="preserve"> </w:t>
      </w:r>
      <w:r>
        <w:t xml:space="preserve">- Margin strength: Perfect 1.0000 on baseline experiment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Destructive queries bound to exact database-table-operation tuple</w:t>
      </w:r>
      <w:r>
        <w:t xml:space="preserve"> </w:t>
      </w:r>
      <w:r>
        <w:t xml:space="preserve">- Schema version mismatches correctly denied</w:t>
      </w:r>
      <w:r>
        <w:t xml:space="preserve"> </w:t>
      </w:r>
      <w:r>
        <w:t xml:space="preserve">- Fail-closed when SchemaRegistry, ConnectionPool, BackupVerifier, or AuditLogger unavailable</w:t>
      </w:r>
      <w:r>
        <w:t xml:space="preserve"> </w:t>
      </w:r>
      <w:r>
        <w:t xml:space="preserve">- Cross-database replay attacks prevented</w:t>
      </w:r>
      <w:r>
        <w:t xml:space="preserve"> </w:t>
      </w:r>
      <w:r>
        <w:t xml:space="preserve">- Destructive operations on production databases require human approval</w:t>
      </w:r>
    </w:p>
    <w:p>
      <w:pPr>
        <w:pStyle w:val="BodyText"/>
      </w:pPr>
      <w:r>
        <w:rPr>
          <w:bCs/>
          <w:b/>
        </w:rPr>
        <w:t xml:space="preserve">DOIs:</w:t>
      </w:r>
      <w:r>
        <w:t xml:space="preserve"> </w:t>
      </w:r>
      <w:r>
        <w:t xml:space="preserve">10.5281/zenodo.21433449 through 10.5281/zenodo.21433457</w:t>
      </w:r>
    </w:p>
    <w:p>
      <w:r>
        <w:pict>
          <v:rect style="width:0;height:1.5pt" o:hralign="center" o:hrstd="t" o:hr="t"/>
        </w:pict>
      </w:r>
    </w:p>
    <w:bookmarkEnd w:id="30"/>
    <w:bookmarkStart w:id="31" w:name="Xbb017c27aa501f30c7258a29dce004a8664037f"/>
    <w:p>
      <w:pPr>
        <w:pStyle w:val="Heading3"/>
      </w:pPr>
      <w:r>
        <w:t xml:space="preserve">Series 4: Financial Transaction (ARK-473–477)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Wire transfer/withdrawal/deposit authorization</w:t>
      </w:r>
      <w:r>
        <w:br/>
      </w:r>
      <w:r>
        <w:rPr>
          <w:bCs/>
          <w:b/>
        </w:rPr>
        <w:t xml:space="preserve">Action Tuple:</w:t>
      </w:r>
      <w:r>
        <w:t xml:space="preserve"> </w:t>
      </w:r>
      <w:r>
        <w:rPr>
          <w:rStyle w:val="VerbatimChar"/>
        </w:rPr>
        <w:t xml:space="preserve">(account_from, account_to, amount, currency, transaction_type)</w:t>
      </w:r>
      <w:r>
        <w:br/>
      </w:r>
      <w:r>
        <w:rPr>
          <w:bCs/>
          <w:b/>
        </w:rPr>
        <w:t xml:space="preserve">Total Decisions:</w:t>
      </w:r>
      <w:r>
        <w:t xml:space="preserve"> </w:t>
      </w:r>
      <w:r>
        <w:t xml:space="preserve">4,000 (5 experiments × 800 decisions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1018"/>
        <w:gridCol w:w="1244"/>
        <w:gridCol w:w="1470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- Kill-gate wrong-allows detected:</w:t>
      </w:r>
      <w:r>
        <w:t xml:space="preserve"> </w:t>
      </w:r>
      <w:r>
        <w:rPr>
          <w:bCs/>
          <w:b/>
        </w:rPr>
        <w:t xml:space="preserve">1,125</w:t>
      </w:r>
      <w:r>
        <w:t xml:space="preserve"> </w:t>
      </w:r>
      <w:r>
        <w:t xml:space="preserve">- Perfect dual-guard concordance:</w:t>
      </w:r>
      <w:r>
        <w:t xml:space="preserve"> </w:t>
      </w:r>
      <w:r>
        <w:rPr>
          <w:bCs/>
          <w:b/>
        </w:rPr>
        <w:t xml:space="preserve">4,000/4,000</w:t>
      </w:r>
      <w:r>
        <w:t xml:space="preserve"> </w:t>
      </w:r>
      <w:r>
        <w:t xml:space="preserve">- Critical domain: Financial operations with monetary impact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Transactions bound to exact account-amount-currency tuple</w:t>
      </w:r>
      <w:r>
        <w:t xml:space="preserve"> </w:t>
      </w:r>
      <w:r>
        <w:t xml:space="preserve">- Amount or currency substitution correctly denied</w:t>
      </w:r>
      <w:r>
        <w:t xml:space="preserve"> </w:t>
      </w:r>
      <w:r>
        <w:t xml:space="preserve">- Fail-closed when FraudDetector, ComplianceChecker, BalanceVerifier, or AuditLogger unavailable</w:t>
      </w:r>
      <w:r>
        <w:t xml:space="preserve"> </w:t>
      </w:r>
      <w:r>
        <w:t xml:space="preserve">- Cross-account replay attacks prevented</w:t>
      </w:r>
      <w:r>
        <w:t xml:space="preserve"> </w:t>
      </w:r>
      <w:r>
        <w:t xml:space="preserve">- Large transactions require human approval when flagged</w:t>
      </w:r>
    </w:p>
    <w:p>
      <w:pPr>
        <w:pStyle w:val="BodyText"/>
      </w:pPr>
      <w:r>
        <w:rPr>
          <w:bCs/>
          <w:b/>
        </w:rPr>
        <w:t xml:space="preserve">DOIs:</w:t>
      </w:r>
      <w:r>
        <w:t xml:space="preserve"> </w:t>
      </w:r>
      <w:r>
        <w:t xml:space="preserve">10.5281/zenodo.21433459 through 10.5281/zenodo.21433469</w:t>
      </w:r>
    </w:p>
    <w:p>
      <w:r>
        <w:pict>
          <v:rect style="width:0;height:1.5pt" o:hralign="center" o:hrstd="t" o:hr="t"/>
        </w:pict>
      </w:r>
    </w:p>
    <w:bookmarkEnd w:id="31"/>
    <w:bookmarkStart w:id="32" w:name="series-5-api-rate-limit-ark-478482"/>
    <w:p>
      <w:pPr>
        <w:pStyle w:val="Heading3"/>
      </w:pPr>
      <w:r>
        <w:t xml:space="preserve">Series 5: API Rate Limit (ARK-478–482)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API rate limit enforcement authorization</w:t>
      </w:r>
      <w:r>
        <w:br/>
      </w:r>
      <w:r>
        <w:rPr>
          <w:bCs/>
          <w:b/>
        </w:rPr>
        <w:t xml:space="preserve">Action Tuple:</w:t>
      </w:r>
      <w:r>
        <w:t xml:space="preserve"> </w:t>
      </w:r>
      <w:r>
        <w:rPr>
          <w:rStyle w:val="VerbatimChar"/>
        </w:rPr>
        <w:t xml:space="preserve">(api_key, endpoint, rate_limit, time_window, tier)</w:t>
      </w:r>
      <w:r>
        <w:br/>
      </w:r>
      <w:r>
        <w:rPr>
          <w:bCs/>
          <w:b/>
        </w:rPr>
        <w:t xml:space="preserve">Total Decisions:</w:t>
      </w:r>
      <w:r>
        <w:t xml:space="preserve"> </w:t>
      </w:r>
      <w:r>
        <w:t xml:space="preserve">4,000 (5 experiments × 800 decisions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1018"/>
        <w:gridCol w:w="1244"/>
        <w:gridCol w:w="1470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- Kill-gate wrong-allows detected:</w:t>
      </w:r>
      <w:r>
        <w:t xml:space="preserve"> </w:t>
      </w:r>
      <w:r>
        <w:rPr>
          <w:bCs/>
          <w:b/>
        </w:rPr>
        <w:t xml:space="preserve">1,125</w:t>
      </w:r>
      <w:r>
        <w:t xml:space="preserve"> </w:t>
      </w:r>
      <w:r>
        <w:t xml:space="preserve">- Perfect dual-guard concordance:</w:t>
      </w:r>
      <w:r>
        <w:t xml:space="preserve"> </w:t>
      </w:r>
      <w:r>
        <w:rPr>
          <w:bCs/>
          <w:b/>
        </w:rPr>
        <w:t xml:space="preserve">4,000/4,000</w:t>
      </w:r>
      <w:r>
        <w:t xml:space="preserve"> </w:t>
      </w:r>
      <w:r>
        <w:t xml:space="preserve">- Final P01 series: maintains quality to completion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Rate limit decisions bound to exact api_key-endpoint-tier tuple</w:t>
      </w:r>
      <w:r>
        <w:t xml:space="preserve"> </w:t>
      </w:r>
      <w:r>
        <w:t xml:space="preserve">- Tier upgrade attacks correctly denied</w:t>
      </w:r>
      <w:r>
        <w:t xml:space="preserve"> </w:t>
      </w:r>
      <w:r>
        <w:t xml:space="preserve">- Fail-closed when RateLimitStore, TokenValidator, UsageTracker, or AuditLogger unavailable</w:t>
      </w:r>
      <w:r>
        <w:t xml:space="preserve"> </w:t>
      </w:r>
      <w:r>
        <w:t xml:space="preserve">- Cross-tenant rate limit bypass prevented</w:t>
      </w:r>
      <w:r>
        <w:t xml:space="preserve"> </w:t>
      </w:r>
      <w:r>
        <w:t xml:space="preserve">- Rate limit exceptions require human approval</w:t>
      </w:r>
    </w:p>
    <w:p>
      <w:pPr>
        <w:pStyle w:val="BodyText"/>
      </w:pPr>
      <w:r>
        <w:rPr>
          <w:bCs/>
          <w:b/>
        </w:rPr>
        <w:t xml:space="preserve">DOIs:</w:t>
      </w:r>
      <w:r>
        <w:t xml:space="preserve"> </w:t>
      </w:r>
      <w:r>
        <w:t xml:space="preserve">10.5281/zenodo.21433473 through 10.5281/zenodo.21433485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ross-series-analysis"/>
    <w:p>
      <w:pPr>
        <w:pStyle w:val="Heading2"/>
      </w:pPr>
      <w:r>
        <w:t xml:space="preserve">CROSS-SERIES ANALYSIS</w:t>
      </w:r>
    </w:p>
    <w:bookmarkStart w:id="34" w:name="pattern-replication-success"/>
    <w:p>
      <w:pPr>
        <w:pStyle w:val="Heading3"/>
      </w:pPr>
      <w:r>
        <w:t xml:space="preserve">Pattern Replication Success</w:t>
      </w:r>
    </w:p>
    <w:p>
      <w:pPr>
        <w:pStyle w:val="FirstParagraph"/>
      </w:pPr>
      <w:r>
        <w:t xml:space="preserve">The P01 series demonstrates successful replication of the 5-failure-mode pattern across all 5 domains: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8"/>
        <w:gridCol w:w="1689"/>
        <w:gridCol w:w="1795"/>
        <w:gridCol w:w="1161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ExecutionProof authorization boundary pattern successfully generalizes across diverse production domains without domain-specific modifications.</w:t>
      </w:r>
    </w:p>
    <w:bookmarkEnd w:id="34"/>
    <w:bookmarkStart w:id="35" w:name="guard-concordance-analysis"/>
    <w:p>
      <w:pPr>
        <w:pStyle w:val="Heading3"/>
      </w:pPr>
      <w:r>
        <w:t xml:space="preserve">Guard Concordance Analysis</w:t>
      </w:r>
    </w:p>
    <w:p>
      <w:pPr>
        <w:pStyle w:val="FirstParagraph"/>
      </w:pPr>
      <w:r>
        <w:t xml:space="preserve">Dual-guard implementation (JavaScript V1 + Python V2) achieved</w:t>
      </w:r>
      <w:r>
        <w:t xml:space="preserve"> </w:t>
      </w:r>
      <w:r>
        <w:rPr>
          <w:bCs/>
          <w:b/>
        </w:rPr>
        <w:t xml:space="preserve">perfect concordance</w:t>
      </w:r>
      <w:r>
        <w:t xml:space="preserve"> </w:t>
      </w:r>
      <w:r>
        <w:t xml:space="preserve">across all 20,000 decisions: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V1 (JavaScript):</w:t>
      </w:r>
      <w:r>
        <w:t xml:space="preserve"> </w:t>
      </w:r>
      <w:r>
        <w:t xml:space="preserve">Node.js-based implementation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V2 (Python):</w:t>
      </w:r>
      <w:r>
        <w:t xml:space="preserve"> </w:t>
      </w:r>
      <w:r>
        <w:t xml:space="preserve">Python 3.11+ implementation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Concordance:</w:t>
      </w:r>
      <w:r>
        <w:t xml:space="preserve"> </w:t>
      </w:r>
      <w:r>
        <w:t xml:space="preserve">20,000/20,000 decisions (100%)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 discrepancies:</w:t>
      </w:r>
      <w:r>
        <w:t xml:space="preserve"> </w:t>
      </w:r>
      <w:r>
        <w:t xml:space="preserve">No disagreements between implementations</w:t>
      </w:r>
    </w:p>
    <w:p>
      <w:pPr>
        <w:pStyle w:val="FirstParagraph"/>
      </w:pPr>
      <w:r>
        <w:t xml:space="preserve">This validates:</w:t>
      </w:r>
      <w:r>
        <w:t xml:space="preserve"> </w:t>
      </w:r>
      <w:r>
        <w:t xml:space="preserve">1. Specification clarity (both implementations interpret rules identically)</w:t>
      </w:r>
      <w:r>
        <w:t xml:space="preserve"> </w:t>
      </w:r>
      <w:r>
        <w:t xml:space="preserve">2. Implementation correctness (both guards enforce intended logic)</w:t>
      </w:r>
      <w:r>
        <w:t xml:space="preserve"> </w:t>
      </w:r>
      <w:r>
        <w:t xml:space="preserve">3. Cross-language portability (pattern works in JavaScript and Python)</w:t>
      </w:r>
    </w:p>
    <w:bookmarkEnd w:id="35"/>
    <w:bookmarkStart w:id="36" w:name="kill-gate-effectiveness"/>
    <w:p>
      <w:pPr>
        <w:pStyle w:val="Heading3"/>
      </w:pPr>
      <w:r>
        <w:t xml:space="preserve">Kill-Gate Effectiveness</w:t>
      </w:r>
    </w:p>
    <w:p>
      <w:pPr>
        <w:pStyle w:val="FirstParagraph"/>
      </w:pPr>
      <w:r>
        <w:t xml:space="preserve">All 25 experiments included kill-gates (intentionally broken guards) to ensure testbed falsifiability: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7"/>
        <w:gridCol w:w="2929"/>
        <w:gridCol w:w="2386"/>
        <w:gridCol w:w="17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Kill-Gate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Wrong-Allows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Destructive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Every experiment successfully detected broken guards, confirming that the testbeds are capable of producing FAIL verdicts when guards are defective.</w:t>
      </w:r>
    </w:p>
    <w:bookmarkEnd w:id="36"/>
    <w:bookmarkStart w:id="37" w:name="margin-strength-distribution"/>
    <w:p>
      <w:pPr>
        <w:pStyle w:val="Heading3"/>
      </w:pPr>
      <w:r>
        <w:t xml:space="preserve">Margin Strength Distribution</w:t>
      </w:r>
    </w:p>
    <w:p>
      <w:pPr>
        <w:pStyle w:val="FirstParagraph"/>
      </w:pPr>
      <w:r>
        <w:t xml:space="preserve">All experiments achieved g_margin ≥ 0.9500 (required threshold: 0.90):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Perfect margin (1.0000):</w:t>
      </w:r>
      <w:r>
        <w:t xml:space="preserve"> </w:t>
      </w:r>
      <w:r>
        <w:t xml:space="preserve">5 experiments (ARK-463, 468, 473, 478, all baseline experiments)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Strong margin (0.9500):</w:t>
      </w:r>
      <w:r>
        <w:t xml:space="preserve"> </w:t>
      </w:r>
      <w:r>
        <w:t xml:space="preserve">20 experiments (all non-baseline experiments)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Below threshold:</w:t>
      </w:r>
      <w:r>
        <w:t xml:space="preserve"> </w:t>
      </w:r>
      <w:r>
        <w:t xml:space="preserve">0 experiments</w:t>
      </w:r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All experiments maintained substantial safety margins above the minimum threshold, indicating robust guard behavior well beyond minimum requirements.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ethodology-and-compliance"/>
    <w:p>
      <w:pPr>
        <w:pStyle w:val="Heading2"/>
      </w:pPr>
      <w:r>
        <w:t xml:space="preserve">METHODOLOGY AND COMPLIANCE</w:t>
      </w:r>
    </w:p>
    <w:bookmarkStart w:id="39" w:name="rf-standing-covenant-adherence"/>
    <w:p>
      <w:pPr>
        <w:pStyle w:val="Heading3"/>
      </w:pPr>
      <w:r>
        <w:t xml:space="preserve">RF Standing Covenant Adherence</w:t>
      </w:r>
    </w:p>
    <w:p>
      <w:pPr>
        <w:pStyle w:val="FirstParagraph"/>
      </w:pPr>
      <w:r>
        <w:t xml:space="preserve">All 25 experiments maintained</w:t>
      </w:r>
      <w:r>
        <w:t xml:space="preserve"> </w:t>
      </w:r>
      <w:r>
        <w:rPr>
          <w:bCs/>
          <w:b/>
        </w:rPr>
        <w:t xml:space="preserve">100% compliance</w:t>
      </w:r>
      <w:r>
        <w:t xml:space="preserve"> </w:t>
      </w:r>
      <w:r>
        <w:t xml:space="preserve">with the RF Standing Covenant: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Preregistration:</w:t>
      </w:r>
      <w:r>
        <w:t xml:space="preserve"> </w:t>
      </w:r>
      <w:r>
        <w:t xml:space="preserve">Every experiment included PREREGISTRATION.md with questions, arms, metrics, thresholds, and kill conditions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Pre-execution Lock:</w:t>
      </w:r>
      <w:r>
        <w:t xml:space="preserve"> </w:t>
      </w:r>
      <w:r>
        <w:t xml:space="preserve">Every experiment committed MANIFEST.txt with SHA-256 hashes before execution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Outcome Preservation:</w:t>
      </w:r>
      <w:r>
        <w:t xml:space="preserve"> </w:t>
      </w:r>
      <w:r>
        <w:t xml:space="preserve">All PASS verdicts preserved in RESULTS.md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Honest Reporting:</w:t>
      </w:r>
      <w:r>
        <w:t xml:space="preserve"> </w:t>
      </w:r>
      <w:r>
        <w:t xml:space="preserve">No post-hoc criterion changes, no rescue-after-failure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Full Provenance:</w:t>
      </w:r>
      <w:r>
        <w:t xml:space="preserve"> </w:t>
      </w:r>
      <w:r>
        <w:t xml:space="preserve">GitHub commits + Zenodo DOIs provide complete audit trail</w:t>
      </w:r>
    </w:p>
    <w:bookmarkEnd w:id="39"/>
    <w:bookmarkStart w:id="40" w:name="preregistration-quality"/>
    <w:p>
      <w:pPr>
        <w:pStyle w:val="Heading3"/>
      </w:pPr>
      <w:r>
        <w:t xml:space="preserve">Preregistration Quality</w:t>
      </w:r>
    </w:p>
    <w:p>
      <w:pPr>
        <w:pStyle w:val="FirstParagraph"/>
      </w:pPr>
      <w:r>
        <w:t xml:space="preserve">Every PREREGISTRATION.md file included:</w:t>
      </w:r>
      <w:r>
        <w:t xml:space="preserve"> </w:t>
      </w:r>
      <w:r>
        <w:t xml:space="preserve">- Clear experimental question</w:t>
      </w:r>
      <w:r>
        <w:t xml:space="preserve"> </w:t>
      </w:r>
      <w:r>
        <w:t xml:space="preserve">- Defined action tuple (5 fields)</w:t>
      </w:r>
      <w:r>
        <w:t xml:space="preserve"> </w:t>
      </w:r>
      <w:r>
        <w:t xml:space="preserve">- Specified arms (typically 8 arms × 100 scenarios = 800 decisions)</w:t>
      </w:r>
      <w:r>
        <w:t xml:space="preserve"> </w:t>
      </w:r>
      <w:r>
        <w:t xml:space="preserve">- Concrete success criteria (g_metrics with thresholds)</w:t>
      </w:r>
      <w:r>
        <w:t xml:space="preserve"> </w:t>
      </w:r>
      <w:r>
        <w:t xml:space="preserve">- Kill-gate specification (intentionally broken guards)</w:t>
      </w:r>
      <w:r>
        <w:t xml:space="preserve"> </w:t>
      </w:r>
      <w:r>
        <w:t xml:space="preserve">- Predicted outcomes</w:t>
      </w:r>
    </w:p>
    <w:bookmarkEnd w:id="40"/>
    <w:bookmarkStart w:id="41" w:name="execution-discipline"/>
    <w:p>
      <w:pPr>
        <w:pStyle w:val="Heading3"/>
      </w:pPr>
      <w:r>
        <w:t xml:space="preserve">Execution Discipline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post-execution changes:</w:t>
      </w:r>
      <w:r>
        <w:t xml:space="preserve"> </w:t>
      </w:r>
      <w:r>
        <w:t xml:space="preserve">No preregistration files modified after MANIFEST.txt lock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cherry-picking:</w:t>
      </w:r>
      <w:r>
        <w:t xml:space="preserve"> </w:t>
      </w:r>
      <w:r>
        <w:t xml:space="preserve">All 25 experiments executed and published (no hidden FAILs)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parameter tuning:</w:t>
      </w:r>
      <w:r>
        <w:t xml:space="preserve"> </w:t>
      </w:r>
      <w:r>
        <w:t xml:space="preserve">All thresholds specified before execution, not adjusted after</w:t>
      </w:r>
    </w:p>
    <w:bookmarkEnd w:id="41"/>
    <w:bookmarkStart w:id="42" w:name="publication-transparency"/>
    <w:p>
      <w:pPr>
        <w:pStyle w:val="Heading3"/>
      </w:pPr>
      <w:r>
        <w:t xml:space="preserve">Publication Transparency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All 25 experiments committed to public repository (https://github.com/derekhone/executionproof-testbeds)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Zenodo:</w:t>
      </w:r>
      <w:r>
        <w:t xml:space="preserve"> </w:t>
      </w:r>
      <w:r>
        <w:t xml:space="preserve">All 25 experiments published with permanent DOIs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README badges:</w:t>
      </w:r>
      <w:r>
        <w:t xml:space="preserve"> </w:t>
      </w:r>
      <w:r>
        <w:t xml:space="preserve">All 25 READMEs include clickable DOI badges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Raw data:</w:t>
      </w:r>
      <w:r>
        <w:t xml:space="preserve"> </w:t>
      </w:r>
      <w:r>
        <w:t xml:space="preserve">All scenario files, result files, and code committed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atistical-summary"/>
    <w:p>
      <w:pPr>
        <w:pStyle w:val="Heading2"/>
      </w:pPr>
      <w:r>
        <w:t xml:space="preserve">STATISTICAL SUMMARY</w:t>
      </w:r>
    </w:p>
    <w:bookmarkStart w:id="44" w:name="aggregate-metrics"/>
    <w:p>
      <w:pPr>
        <w:pStyle w:val="Heading3"/>
      </w:pPr>
      <w:r>
        <w:t xml:space="preserve">Aggregate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Dual-Guard 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20,000/20,000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Kill-Gate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5,306/5,306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g_allow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g_deny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Zenodo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4"/>
    <w:bookmarkStart w:id="45" w:name="decision-path-distribution"/>
    <w:p>
      <w:pPr>
        <w:pStyle w:val="Heading3"/>
      </w:pPr>
      <w:r>
        <w:t xml:space="preserve">Decision Path Distribution</w:t>
      </w:r>
    </w:p>
    <w:p>
      <w:pPr>
        <w:pStyle w:val="FirstParagraph"/>
      </w:pPr>
      <w:r>
        <w:t xml:space="preserve">Across all 20,000 decisions, the tri-state decision distribution 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(valid 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DENY (invalid 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(uncertain/missing deps)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Exact distribution varies by experiment; numbers are approximate aggregates.</w:t>
      </w:r>
    </w:p>
    <w:bookmarkEnd w:id="45"/>
    <w:bookmarkStart w:id="46" w:name="execution-efficiency"/>
    <w:p>
      <w:pPr>
        <w:pStyle w:val="Heading3"/>
      </w:pPr>
      <w:r>
        <w:t xml:space="preserve">Execution Efficiency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Average execution time per experiment:</w:t>
      </w:r>
      <w:r>
        <w:t xml:space="preserve"> </w:t>
      </w:r>
      <w:r>
        <w:t xml:space="preserve">~20-30 minutes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Average scenario generation time:</w:t>
      </w:r>
      <w:r>
        <w:t xml:space="preserve"> </w:t>
      </w:r>
      <w:r>
        <w:t xml:space="preserve">~10 seconds per experiment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Average guard execution time:</w:t>
      </w:r>
      <w:r>
        <w:t xml:space="preserve"> </w:t>
      </w:r>
      <w:r>
        <w:t xml:space="preserve">~1-2 seconds for 800 decisions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 execution time (25 experiments):</w:t>
      </w:r>
      <w:r>
        <w:t xml:space="preserve"> </w:t>
      </w:r>
      <w:r>
        <w:t xml:space="preserve">~8 hours (single day)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key-technical-findings"/>
    <w:p>
      <w:pPr>
        <w:pStyle w:val="Heading2"/>
      </w:pPr>
      <w:r>
        <w:t xml:space="preserve">KEY TECHNICAL FINDINGS</w:t>
      </w:r>
    </w:p>
    <w:bookmarkStart w:id="48" w:name="cross-domain-generalization"/>
    <w:p>
      <w:pPr>
        <w:pStyle w:val="Heading3"/>
      </w:pPr>
      <w:r>
        <w:t xml:space="preserve">1. Cross-Domain Generalization</w:t>
      </w:r>
    </w:p>
    <w:p>
      <w:pPr>
        <w:pStyle w:val="FirstParagraph"/>
      </w:pPr>
      <w:r>
        <w:t xml:space="preserve">The ExecutionProof authorization pattern successfully generalizes across:</w:t>
      </w:r>
      <w:r>
        <w:t xml:space="preserve"> </w:t>
      </w:r>
      <w:r>
        <w:t xml:space="preserve">- Cloud infrastructure (IAM)</w:t>
      </w:r>
      <w:r>
        <w:t xml:space="preserve"> </w:t>
      </w:r>
      <w:r>
        <w:t xml:space="preserve">- Software deployment</w:t>
      </w:r>
      <w:r>
        <w:t xml:space="preserve"> </w:t>
      </w:r>
      <w:r>
        <w:t xml:space="preserve">- Database operations</w:t>
      </w:r>
      <w:r>
        <w:t xml:space="preserve"> </w:t>
      </w:r>
      <w:r>
        <w:t xml:space="preserve">- Financial transactions</w:t>
      </w:r>
      <w:r>
        <w:t xml:space="preserve"> </w:t>
      </w:r>
      <w:r>
        <w:t xml:space="preserve">- API access control</w:t>
      </w:r>
    </w:p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The pattern is not domain-specific and can be applied to diverse authorization contexts without modification.</w:t>
      </w:r>
    </w:p>
    <w:bookmarkEnd w:id="48"/>
    <w:bookmarkStart w:id="49" w:name="dual-guard-portability"/>
    <w:p>
      <w:pPr>
        <w:pStyle w:val="Heading3"/>
      </w:pPr>
      <w:r>
        <w:t xml:space="preserve">2. Dual-Guard Portability</w:t>
      </w:r>
    </w:p>
    <w:p>
      <w:pPr>
        <w:pStyle w:val="FirstParagraph"/>
      </w:pPr>
      <w:r>
        <w:t xml:space="preserve">Perfect concordance between JavaScript and Python implementations demonstrates:</w:t>
      </w:r>
      <w:r>
        <w:t xml:space="preserve"> </w:t>
      </w:r>
      <w:r>
        <w:t xml:space="preserve">- Language-agnostic specification</w:t>
      </w:r>
      <w:r>
        <w:t xml:space="preserve"> </w:t>
      </w:r>
      <w:r>
        <w:t xml:space="preserve">- Implementation correctness</w:t>
      </w:r>
      <w:r>
        <w:t xml:space="preserve"> </w:t>
      </w:r>
      <w:r>
        <w:t xml:space="preserve">- Cross-platform viability</w:t>
      </w:r>
    </w:p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Organizations can implement ExecutionProof guards in their preferred language without specification ambiguity.</w:t>
      </w:r>
    </w:p>
    <w:bookmarkEnd w:id="49"/>
    <w:bookmarkStart w:id="50" w:name="fail-closed-dependency-handling"/>
    <w:p>
      <w:pPr>
        <w:pStyle w:val="Heading3"/>
      </w:pPr>
      <w:r>
        <w:t xml:space="preserve">3. Fail-Closed Dependency Handling</w:t>
      </w:r>
    </w:p>
    <w:p>
      <w:pPr>
        <w:pStyle w:val="FirstParagraph"/>
      </w:pPr>
      <w:r>
        <w:t xml:space="preserve">All 5 dependency-loss experiments (ARK-460, 465, 470, 475, 480) achieved perfect HOLD verdicts when critical services unavailable: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IdentityProvider, TokenValidator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PolicyRegistry, SchemaRegistry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SignatureVerifier, BackupVerifier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ExecutionProof maintains fail-closed semantics even when critical infrastructure degrades.</w:t>
      </w:r>
    </w:p>
    <w:bookmarkEnd w:id="50"/>
    <w:bookmarkStart w:id="51" w:name="context-binding-effectiveness"/>
    <w:p>
      <w:pPr>
        <w:pStyle w:val="Heading3"/>
      </w:pPr>
      <w:r>
        <w:t xml:space="preserve">4. Context Binding Effectiveness</w:t>
      </w:r>
    </w:p>
    <w:p>
      <w:pPr>
        <w:pStyle w:val="FirstParagraph"/>
      </w:pPr>
      <w:r>
        <w:t xml:space="preserve">All 5 cross-context replay experiments (ARK-461, 466, 471, 476, 481) achieved perfect DENY verdicts when any of 5 context dimensions differed: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 Detection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5-dimension context binding prevents confused deputy attacks and cross-context authorization replay.</w:t>
      </w:r>
    </w:p>
    <w:bookmarkEnd w:id="51"/>
    <w:bookmarkStart w:id="52" w:name="human-escalation-enforcement"/>
    <w:p>
      <w:pPr>
        <w:pStyle w:val="Heading3"/>
      </w:pPr>
      <w:r>
        <w:t xml:space="preserve">5. Human Escalation Enforcement</w:t>
      </w:r>
    </w:p>
    <w:p>
      <w:pPr>
        <w:pStyle w:val="FirstParagraph"/>
      </w:pPr>
      <w:r>
        <w:t xml:space="preserve">All 5 human escalation experiments (ARK-462, 467, 472, 477, 482) achieved perfect HOLD verdicts when approval required but missing: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2026"/>
        <w:gridCol w:w="2210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(valid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(missing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(no approval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5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High-risk operations requiring human oversight cannot proceed without valid approval.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6" w:name="publication-status"/>
    <w:p>
      <w:pPr>
        <w:pStyle w:val="Heading2"/>
      </w:pPr>
      <w:r>
        <w:t xml:space="preserve">PUBLICATION STATUS</w:t>
      </w:r>
    </w:p>
    <w:bookmarkStart w:id="84" w:name="zenodo-doi-registry"/>
    <w:p>
      <w:pPr>
        <w:pStyle w:val="Heading3"/>
      </w:pPr>
      <w:r>
        <w:t xml:space="preserve">Zenodo DOI Registry</w:t>
      </w:r>
    </w:p>
    <w:p>
      <w:pPr>
        <w:pStyle w:val="FirstParagraph"/>
      </w:pPr>
      <w:r>
        <w:t xml:space="preserve">All 25 experiments published to Zenodo with permanent DOIs:</w:t>
      </w:r>
    </w:p>
    <w:bookmarkStart w:id="59" w:name="cloud-iam-series"/>
    <w:p>
      <w:pPr>
        <w:pStyle w:val="Heading4"/>
      </w:pPr>
      <w:r>
        <w:t xml:space="preserve">Cloud IAM Series</w:t>
      </w:r>
    </w:p>
    <w:p>
      <w:pPr>
        <w:numPr>
          <w:ilvl w:val="0"/>
          <w:numId w:val="1009"/>
        </w:numPr>
        <w:pStyle w:val="Compact"/>
      </w:pPr>
      <w:r>
        <w:t xml:space="preserve">ARK-458:</w:t>
      </w:r>
      <w:r>
        <w:t xml:space="preserve"> </w:t>
      </w:r>
      <w:hyperlink r:id="rId54">
        <w:r>
          <w:rPr>
            <w:rStyle w:val="Hyperlink"/>
          </w:rPr>
          <w:t xml:space="preserve">10.5281/zenodo.21432645</w:t>
        </w:r>
      </w:hyperlink>
    </w:p>
    <w:p>
      <w:pPr>
        <w:numPr>
          <w:ilvl w:val="0"/>
          <w:numId w:val="1009"/>
        </w:numPr>
        <w:pStyle w:val="Compact"/>
      </w:pPr>
      <w:r>
        <w:t xml:space="preserve">ARK-459:</w:t>
      </w:r>
      <w:r>
        <w:t xml:space="preserve"> </w:t>
      </w:r>
      <w:hyperlink r:id="rId55">
        <w:r>
          <w:rPr>
            <w:rStyle w:val="Hyperlink"/>
          </w:rPr>
          <w:t xml:space="preserve">10.5281/zenodo.21432879</w:t>
        </w:r>
      </w:hyperlink>
    </w:p>
    <w:p>
      <w:pPr>
        <w:numPr>
          <w:ilvl w:val="0"/>
          <w:numId w:val="1009"/>
        </w:numPr>
        <w:pStyle w:val="Compact"/>
      </w:pPr>
      <w:r>
        <w:t xml:space="preserve">ARK-460:</w:t>
      </w:r>
      <w:r>
        <w:t xml:space="preserve"> </w:t>
      </w:r>
      <w:hyperlink r:id="rId56">
        <w:r>
          <w:rPr>
            <w:rStyle w:val="Hyperlink"/>
          </w:rPr>
          <w:t xml:space="preserve">10.5281/zenodo.21432883</w:t>
        </w:r>
      </w:hyperlink>
    </w:p>
    <w:p>
      <w:pPr>
        <w:numPr>
          <w:ilvl w:val="0"/>
          <w:numId w:val="1009"/>
        </w:numPr>
        <w:pStyle w:val="Compact"/>
      </w:pPr>
      <w:r>
        <w:t xml:space="preserve">ARK-461:</w:t>
      </w:r>
      <w:r>
        <w:t xml:space="preserve"> </w:t>
      </w:r>
      <w:hyperlink r:id="rId57">
        <w:r>
          <w:rPr>
            <w:rStyle w:val="Hyperlink"/>
          </w:rPr>
          <w:t xml:space="preserve">10.5281/zenodo.21432887</w:t>
        </w:r>
      </w:hyperlink>
    </w:p>
    <w:p>
      <w:pPr>
        <w:numPr>
          <w:ilvl w:val="0"/>
          <w:numId w:val="1009"/>
        </w:numPr>
        <w:pStyle w:val="Compact"/>
      </w:pPr>
      <w:r>
        <w:t xml:space="preserve">ARK-462:</w:t>
      </w:r>
      <w:r>
        <w:t xml:space="preserve"> </w:t>
      </w:r>
      <w:hyperlink r:id="rId58">
        <w:r>
          <w:rPr>
            <w:rStyle w:val="Hyperlink"/>
          </w:rPr>
          <w:t xml:space="preserve">10.5281/zenodo.21432889</w:t>
        </w:r>
      </w:hyperlink>
    </w:p>
    <w:bookmarkEnd w:id="59"/>
    <w:bookmarkStart w:id="65" w:name="production-deployment-series"/>
    <w:p>
      <w:pPr>
        <w:pStyle w:val="Heading4"/>
      </w:pPr>
      <w:r>
        <w:t xml:space="preserve">Production Deployment Series</w:t>
      </w:r>
    </w:p>
    <w:p>
      <w:pPr>
        <w:numPr>
          <w:ilvl w:val="0"/>
          <w:numId w:val="1010"/>
        </w:numPr>
        <w:pStyle w:val="Compact"/>
      </w:pPr>
      <w:r>
        <w:t xml:space="preserve">ARK-463:</w:t>
      </w:r>
      <w:r>
        <w:t xml:space="preserve"> </w:t>
      </w:r>
      <w:hyperlink r:id="rId60">
        <w:r>
          <w:rPr>
            <w:rStyle w:val="Hyperlink"/>
          </w:rPr>
          <w:t xml:space="preserve">10.5281/zenodo.21433070</w:t>
        </w:r>
      </w:hyperlink>
    </w:p>
    <w:p>
      <w:pPr>
        <w:numPr>
          <w:ilvl w:val="0"/>
          <w:numId w:val="1010"/>
        </w:numPr>
        <w:pStyle w:val="Compact"/>
      </w:pPr>
      <w:r>
        <w:t xml:space="preserve">ARK-464:</w:t>
      </w:r>
      <w:r>
        <w:t xml:space="preserve"> </w:t>
      </w:r>
      <w:hyperlink r:id="rId61">
        <w:r>
          <w:rPr>
            <w:rStyle w:val="Hyperlink"/>
          </w:rPr>
          <w:t xml:space="preserve">10.5281/zenodo.21433072</w:t>
        </w:r>
      </w:hyperlink>
    </w:p>
    <w:p>
      <w:pPr>
        <w:numPr>
          <w:ilvl w:val="0"/>
          <w:numId w:val="1010"/>
        </w:numPr>
        <w:pStyle w:val="Compact"/>
      </w:pPr>
      <w:r>
        <w:t xml:space="preserve">ARK-465:</w:t>
      </w:r>
      <w:r>
        <w:t xml:space="preserve"> </w:t>
      </w:r>
      <w:hyperlink r:id="rId62">
        <w:r>
          <w:rPr>
            <w:rStyle w:val="Hyperlink"/>
          </w:rPr>
          <w:t xml:space="preserve">10.5281/zenodo.21433074</w:t>
        </w:r>
      </w:hyperlink>
    </w:p>
    <w:p>
      <w:pPr>
        <w:numPr>
          <w:ilvl w:val="0"/>
          <w:numId w:val="1010"/>
        </w:numPr>
        <w:pStyle w:val="Compact"/>
      </w:pPr>
      <w:r>
        <w:t xml:space="preserve">ARK-466:</w:t>
      </w:r>
      <w:r>
        <w:t xml:space="preserve"> </w:t>
      </w:r>
      <w:hyperlink r:id="rId63">
        <w:r>
          <w:rPr>
            <w:rStyle w:val="Hyperlink"/>
          </w:rPr>
          <w:t xml:space="preserve">10.5281/zenodo.21433077</w:t>
        </w:r>
      </w:hyperlink>
    </w:p>
    <w:p>
      <w:pPr>
        <w:numPr>
          <w:ilvl w:val="0"/>
          <w:numId w:val="1010"/>
        </w:numPr>
        <w:pStyle w:val="Compact"/>
      </w:pPr>
      <w:r>
        <w:t xml:space="preserve">ARK-467:</w:t>
      </w:r>
      <w:r>
        <w:t xml:space="preserve"> </w:t>
      </w:r>
      <w:hyperlink r:id="rId64">
        <w:r>
          <w:rPr>
            <w:rStyle w:val="Hyperlink"/>
          </w:rPr>
          <w:t xml:space="preserve">10.5281/zenodo.21433081</w:t>
        </w:r>
      </w:hyperlink>
    </w:p>
    <w:bookmarkEnd w:id="65"/>
    <w:bookmarkStart w:id="71" w:name="database-destructive-query-series"/>
    <w:p>
      <w:pPr>
        <w:pStyle w:val="Heading4"/>
      </w:pPr>
      <w:r>
        <w:t xml:space="preserve">Database Destructive Query Series</w:t>
      </w:r>
    </w:p>
    <w:p>
      <w:pPr>
        <w:numPr>
          <w:ilvl w:val="0"/>
          <w:numId w:val="1011"/>
        </w:numPr>
        <w:pStyle w:val="Compact"/>
      </w:pPr>
      <w:r>
        <w:t xml:space="preserve">ARK-468:</w:t>
      </w:r>
      <w:r>
        <w:t xml:space="preserve"> </w:t>
      </w:r>
      <w:hyperlink r:id="rId66">
        <w:r>
          <w:rPr>
            <w:rStyle w:val="Hyperlink"/>
          </w:rPr>
          <w:t xml:space="preserve">10.5281/zenodo.21433449</w:t>
        </w:r>
      </w:hyperlink>
    </w:p>
    <w:p>
      <w:pPr>
        <w:numPr>
          <w:ilvl w:val="0"/>
          <w:numId w:val="1011"/>
        </w:numPr>
        <w:pStyle w:val="Compact"/>
      </w:pPr>
      <w:r>
        <w:t xml:space="preserve">ARK-469:</w:t>
      </w:r>
      <w:r>
        <w:t xml:space="preserve"> </w:t>
      </w:r>
      <w:hyperlink r:id="rId67">
        <w:r>
          <w:rPr>
            <w:rStyle w:val="Hyperlink"/>
          </w:rPr>
          <w:t xml:space="preserve">10.5281/zenodo.21433451</w:t>
        </w:r>
      </w:hyperlink>
    </w:p>
    <w:p>
      <w:pPr>
        <w:numPr>
          <w:ilvl w:val="0"/>
          <w:numId w:val="1011"/>
        </w:numPr>
        <w:pStyle w:val="Compact"/>
      </w:pPr>
      <w:r>
        <w:t xml:space="preserve">ARK-470:</w:t>
      </w:r>
      <w:r>
        <w:t xml:space="preserve"> </w:t>
      </w:r>
      <w:hyperlink r:id="rId68">
        <w:r>
          <w:rPr>
            <w:rStyle w:val="Hyperlink"/>
          </w:rPr>
          <w:t xml:space="preserve">10.5281/zenodo.21433453</w:t>
        </w:r>
      </w:hyperlink>
    </w:p>
    <w:p>
      <w:pPr>
        <w:numPr>
          <w:ilvl w:val="0"/>
          <w:numId w:val="1011"/>
        </w:numPr>
        <w:pStyle w:val="Compact"/>
      </w:pPr>
      <w:r>
        <w:t xml:space="preserve">ARK-471:</w:t>
      </w:r>
      <w:r>
        <w:t xml:space="preserve"> </w:t>
      </w:r>
      <w:hyperlink r:id="rId69">
        <w:r>
          <w:rPr>
            <w:rStyle w:val="Hyperlink"/>
          </w:rPr>
          <w:t xml:space="preserve">10.5281/zenodo.21433455</w:t>
        </w:r>
      </w:hyperlink>
    </w:p>
    <w:p>
      <w:pPr>
        <w:numPr>
          <w:ilvl w:val="0"/>
          <w:numId w:val="1011"/>
        </w:numPr>
        <w:pStyle w:val="Compact"/>
      </w:pPr>
      <w:r>
        <w:t xml:space="preserve">ARK-472:</w:t>
      </w:r>
      <w:r>
        <w:t xml:space="preserve"> </w:t>
      </w:r>
      <w:hyperlink r:id="rId70">
        <w:r>
          <w:rPr>
            <w:rStyle w:val="Hyperlink"/>
          </w:rPr>
          <w:t xml:space="preserve">10.5281/zenodo.21433457</w:t>
        </w:r>
      </w:hyperlink>
    </w:p>
    <w:bookmarkEnd w:id="71"/>
    <w:bookmarkStart w:id="77" w:name="financial-transaction-series"/>
    <w:p>
      <w:pPr>
        <w:pStyle w:val="Heading4"/>
      </w:pPr>
      <w:r>
        <w:t xml:space="preserve">Financial Transaction Series</w:t>
      </w:r>
    </w:p>
    <w:p>
      <w:pPr>
        <w:numPr>
          <w:ilvl w:val="0"/>
          <w:numId w:val="1012"/>
        </w:numPr>
        <w:pStyle w:val="Compact"/>
      </w:pPr>
      <w:r>
        <w:t xml:space="preserve">ARK-473:</w:t>
      </w:r>
      <w:r>
        <w:t xml:space="preserve"> </w:t>
      </w:r>
      <w:hyperlink r:id="rId72">
        <w:r>
          <w:rPr>
            <w:rStyle w:val="Hyperlink"/>
          </w:rPr>
          <w:t xml:space="preserve">10.5281/zenodo.21433459</w:t>
        </w:r>
      </w:hyperlink>
    </w:p>
    <w:p>
      <w:pPr>
        <w:numPr>
          <w:ilvl w:val="0"/>
          <w:numId w:val="1012"/>
        </w:numPr>
        <w:pStyle w:val="Compact"/>
      </w:pPr>
      <w:r>
        <w:t xml:space="preserve">ARK-474:</w:t>
      </w:r>
      <w:r>
        <w:t xml:space="preserve"> </w:t>
      </w:r>
      <w:hyperlink r:id="rId73">
        <w:r>
          <w:rPr>
            <w:rStyle w:val="Hyperlink"/>
          </w:rPr>
          <w:t xml:space="preserve">10.5281/zenodo.21433461</w:t>
        </w:r>
      </w:hyperlink>
    </w:p>
    <w:p>
      <w:pPr>
        <w:numPr>
          <w:ilvl w:val="0"/>
          <w:numId w:val="1012"/>
        </w:numPr>
        <w:pStyle w:val="Compact"/>
      </w:pPr>
      <w:r>
        <w:t xml:space="preserve">ARK-475:</w:t>
      </w:r>
      <w:r>
        <w:t xml:space="preserve"> </w:t>
      </w:r>
      <w:hyperlink r:id="rId74">
        <w:r>
          <w:rPr>
            <w:rStyle w:val="Hyperlink"/>
          </w:rPr>
          <w:t xml:space="preserve">10.5281/zenodo.21433463</w:t>
        </w:r>
      </w:hyperlink>
    </w:p>
    <w:p>
      <w:pPr>
        <w:numPr>
          <w:ilvl w:val="0"/>
          <w:numId w:val="1012"/>
        </w:numPr>
        <w:pStyle w:val="Compact"/>
      </w:pPr>
      <w:r>
        <w:t xml:space="preserve">ARK-476:</w:t>
      </w:r>
      <w:r>
        <w:t xml:space="preserve"> </w:t>
      </w:r>
      <w:hyperlink r:id="rId75">
        <w:r>
          <w:rPr>
            <w:rStyle w:val="Hyperlink"/>
          </w:rPr>
          <w:t xml:space="preserve">10.5281/zenodo.21433465</w:t>
        </w:r>
      </w:hyperlink>
    </w:p>
    <w:p>
      <w:pPr>
        <w:numPr>
          <w:ilvl w:val="0"/>
          <w:numId w:val="1012"/>
        </w:numPr>
        <w:pStyle w:val="Compact"/>
      </w:pPr>
      <w:r>
        <w:t xml:space="preserve">ARK-477:</w:t>
      </w:r>
      <w:r>
        <w:t xml:space="preserve"> </w:t>
      </w:r>
      <w:hyperlink r:id="rId76">
        <w:r>
          <w:rPr>
            <w:rStyle w:val="Hyperlink"/>
          </w:rPr>
          <w:t xml:space="preserve">10.5281/zenodo.21433469</w:t>
        </w:r>
      </w:hyperlink>
    </w:p>
    <w:bookmarkEnd w:id="77"/>
    <w:bookmarkStart w:id="83" w:name="api-rate-limit-series"/>
    <w:p>
      <w:pPr>
        <w:pStyle w:val="Heading4"/>
      </w:pPr>
      <w:r>
        <w:t xml:space="preserve">API Rate Limit Series</w:t>
      </w:r>
    </w:p>
    <w:p>
      <w:pPr>
        <w:numPr>
          <w:ilvl w:val="0"/>
          <w:numId w:val="1013"/>
        </w:numPr>
        <w:pStyle w:val="Compact"/>
      </w:pPr>
      <w:r>
        <w:t xml:space="preserve">ARK-478:</w:t>
      </w:r>
      <w:r>
        <w:t xml:space="preserve"> </w:t>
      </w:r>
      <w:hyperlink r:id="rId78">
        <w:r>
          <w:rPr>
            <w:rStyle w:val="Hyperlink"/>
          </w:rPr>
          <w:t xml:space="preserve">10.5281/zenodo.21433473</w:t>
        </w:r>
      </w:hyperlink>
    </w:p>
    <w:p>
      <w:pPr>
        <w:numPr>
          <w:ilvl w:val="0"/>
          <w:numId w:val="1013"/>
        </w:numPr>
        <w:pStyle w:val="Compact"/>
      </w:pPr>
      <w:r>
        <w:t xml:space="preserve">ARK-479:</w:t>
      </w:r>
      <w:r>
        <w:t xml:space="preserve"> </w:t>
      </w:r>
      <w:hyperlink r:id="rId79">
        <w:r>
          <w:rPr>
            <w:rStyle w:val="Hyperlink"/>
          </w:rPr>
          <w:t xml:space="preserve">10.5281/zenodo.21433476</w:t>
        </w:r>
      </w:hyperlink>
    </w:p>
    <w:p>
      <w:pPr>
        <w:numPr>
          <w:ilvl w:val="0"/>
          <w:numId w:val="1013"/>
        </w:numPr>
        <w:pStyle w:val="Compact"/>
      </w:pPr>
      <w:r>
        <w:t xml:space="preserve">ARK-480:</w:t>
      </w:r>
      <w:r>
        <w:t xml:space="preserve"> </w:t>
      </w:r>
      <w:hyperlink r:id="rId80">
        <w:r>
          <w:rPr>
            <w:rStyle w:val="Hyperlink"/>
          </w:rPr>
          <w:t xml:space="preserve">10.5281/zenodo.21433479</w:t>
        </w:r>
      </w:hyperlink>
    </w:p>
    <w:p>
      <w:pPr>
        <w:numPr>
          <w:ilvl w:val="0"/>
          <w:numId w:val="1013"/>
        </w:numPr>
        <w:pStyle w:val="Compact"/>
      </w:pPr>
      <w:r>
        <w:t xml:space="preserve">ARK-481:</w:t>
      </w:r>
      <w:r>
        <w:t xml:space="preserve"> </w:t>
      </w:r>
      <w:hyperlink r:id="rId81">
        <w:r>
          <w:rPr>
            <w:rStyle w:val="Hyperlink"/>
          </w:rPr>
          <w:t xml:space="preserve">10.5281/zenodo.21433483</w:t>
        </w:r>
      </w:hyperlink>
    </w:p>
    <w:p>
      <w:pPr>
        <w:numPr>
          <w:ilvl w:val="0"/>
          <w:numId w:val="1013"/>
        </w:numPr>
        <w:pStyle w:val="Compact"/>
      </w:pPr>
      <w:r>
        <w:t xml:space="preserve">ARK-482:</w:t>
      </w:r>
      <w:r>
        <w:t xml:space="preserve"> </w:t>
      </w:r>
      <w:hyperlink r:id="rId82">
        <w:r>
          <w:rPr>
            <w:rStyle w:val="Hyperlink"/>
          </w:rPr>
          <w:t xml:space="preserve">10.5281/zenodo.21433485</w:t>
        </w:r>
      </w:hyperlink>
    </w:p>
    <w:bookmarkEnd w:id="83"/>
    <w:bookmarkEnd w:id="84"/>
    <w:bookmarkStart w:id="85" w:name="github-repository-status"/>
    <w:p>
      <w:pPr>
        <w:pStyle w:val="Heading3"/>
      </w:pPr>
      <w:r>
        <w:t xml:space="preserve">GitHub Repository Status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Main Branch SHA:</w:t>
      </w:r>
      <w:r>
        <w:t xml:space="preserve"> </w:t>
      </w:r>
      <w:r>
        <w:t xml:space="preserve">293c326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Latest Commit:</w:t>
      </w:r>
      <w:r>
        <w:t xml:space="preserve"> </w:t>
      </w:r>
      <w:r>
        <w:t xml:space="preserve">“</w:t>
      </w:r>
      <w:r>
        <w:t xml:space="preserve">Add Zenodo DOI badges to ARK-468-482 README files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All PRs:</w:t>
      </w:r>
      <w:r>
        <w:t xml:space="preserve"> </w:t>
      </w:r>
      <w:r>
        <w:t xml:space="preserve">Merged to main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Open PRs:</w:t>
      </w:r>
      <w:r>
        <w:t xml:space="preserve"> </w:t>
      </w:r>
      <w:r>
        <w:t xml:space="preserve">0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next-steps"/>
    <w:p>
      <w:pPr>
        <w:pStyle w:val="Heading2"/>
      </w:pPr>
      <w:r>
        <w:t xml:space="preserve">NEXT STEPS</w:t>
      </w:r>
    </w:p>
    <w:bookmarkStart w:id="89" w:name="immediate-p02-continuation"/>
    <w:p>
      <w:pPr>
        <w:pStyle w:val="Heading3"/>
      </w:pPr>
      <w:r>
        <w:t xml:space="preserve">Immediate: P02 Continuation</w:t>
      </w:r>
    </w:p>
    <w:p>
      <w:pPr>
        <w:pStyle w:val="FirstParagraph"/>
      </w:pPr>
      <w:r>
        <w:t xml:space="preserve">Complete the remaining P02 Latency/Throughput experiments (ARK-485–492):</w:t>
      </w:r>
    </w:p>
    <w:bookmarkStart w:id="87" w:name="X2878d49256d316404449db9ed037df7dd541007"/>
    <w:p>
      <w:pPr>
        <w:pStyle w:val="Heading4"/>
      </w:pPr>
      <w:r>
        <w:t xml:space="preserve">Verification Decision Performance (ARK-485–487)</w:t>
      </w:r>
    </w:p>
    <w:p>
      <w:pPr>
        <w:numPr>
          <w:ilvl w:val="0"/>
          <w:numId w:val="1015"/>
        </w:numPr>
        <w:pStyle w:val="Compact"/>
      </w:pPr>
      <w:r>
        <w:t xml:space="preserve">ARK-485: Sustained Throughput</w:t>
      </w:r>
    </w:p>
    <w:p>
      <w:pPr>
        <w:numPr>
          <w:ilvl w:val="0"/>
          <w:numId w:val="1015"/>
        </w:numPr>
        <w:pStyle w:val="Compact"/>
      </w:pPr>
      <w:r>
        <w:t xml:space="preserve">ARK-486: Cost At Scale (projected)</w:t>
      </w:r>
    </w:p>
    <w:p>
      <w:pPr>
        <w:numPr>
          <w:ilvl w:val="0"/>
          <w:numId w:val="1015"/>
        </w:numPr>
        <w:pStyle w:val="Compact"/>
      </w:pPr>
      <w:r>
        <w:t xml:space="preserve">ARK-487: Memory Footprint</w:t>
      </w:r>
    </w:p>
    <w:bookmarkEnd w:id="87"/>
    <w:bookmarkStart w:id="88" w:name="authority-engine-performance-ark-488492"/>
    <w:p>
      <w:pPr>
        <w:pStyle w:val="Heading4"/>
      </w:pPr>
      <w:r>
        <w:t xml:space="preserve">Authority Engine Performance (ARK-488–492)</w:t>
      </w:r>
    </w:p>
    <w:p>
      <w:pPr>
        <w:numPr>
          <w:ilvl w:val="0"/>
          <w:numId w:val="1016"/>
        </w:numPr>
        <w:pStyle w:val="Compact"/>
      </w:pPr>
      <w:r>
        <w:t xml:space="preserve">ARK-488: Cold Start</w:t>
      </w:r>
    </w:p>
    <w:p>
      <w:pPr>
        <w:numPr>
          <w:ilvl w:val="0"/>
          <w:numId w:val="1016"/>
        </w:numPr>
        <w:pStyle w:val="Compact"/>
      </w:pPr>
      <w:r>
        <w:t xml:space="preserve">ARK-489: P95 Latency</w:t>
      </w:r>
    </w:p>
    <w:p>
      <w:pPr>
        <w:numPr>
          <w:ilvl w:val="0"/>
          <w:numId w:val="1016"/>
        </w:numPr>
        <w:pStyle w:val="Compact"/>
      </w:pPr>
      <w:r>
        <w:t xml:space="preserve">ARK-490: Burst Throughput</w:t>
      </w:r>
    </w:p>
    <w:p>
      <w:pPr>
        <w:numPr>
          <w:ilvl w:val="0"/>
          <w:numId w:val="1016"/>
        </w:numPr>
        <w:pStyle w:val="Compact"/>
      </w:pPr>
      <w:r>
        <w:t xml:space="preserve">ARK-491: Sustained Throughput</w:t>
      </w:r>
    </w:p>
    <w:p>
      <w:pPr>
        <w:numPr>
          <w:ilvl w:val="0"/>
          <w:numId w:val="1016"/>
        </w:numPr>
        <w:pStyle w:val="Compact"/>
      </w:pPr>
      <w:r>
        <w:t xml:space="preserve">ARK-492: Cost At Scale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ARK-483 (Latency) and ARK-484 (Burst Throughput) already complete</w:t>
      </w:r>
    </w:p>
    <w:bookmarkEnd w:id="88"/>
    <w:bookmarkEnd w:id="89"/>
    <w:bookmarkStart w:id="90" w:name="medium-term-p03-dependency-cascades"/>
    <w:p>
      <w:pPr>
        <w:pStyle w:val="Heading3"/>
      </w:pPr>
      <w:r>
        <w:t xml:space="preserve">Medium-Term: P03 Dependency Cascades</w:t>
      </w:r>
    </w:p>
    <w:p>
      <w:pPr>
        <w:pStyle w:val="FirstParagraph"/>
      </w:pPr>
      <w:r>
        <w:t xml:space="preserve">Test complex failure scenarios involving multiple simultaneous dependency losses (ARK-493–517):</w:t>
      </w:r>
    </w:p>
    <w:p>
      <w:pPr>
        <w:numPr>
          <w:ilvl w:val="0"/>
          <w:numId w:val="1017"/>
        </w:numPr>
        <w:pStyle w:val="Compact"/>
      </w:pPr>
      <w:r>
        <w:t xml:space="preserve">Identity Provider cascades (full outage, timeout, stale cache, split brain, recovery)</w:t>
      </w:r>
    </w:p>
    <w:p>
      <w:pPr>
        <w:numPr>
          <w:ilvl w:val="0"/>
          <w:numId w:val="1017"/>
        </w:numPr>
        <w:pStyle w:val="Compact"/>
      </w:pPr>
      <w:r>
        <w:t xml:space="preserve">Policy Registry cascades</w:t>
      </w:r>
    </w:p>
    <w:p>
      <w:pPr>
        <w:numPr>
          <w:ilvl w:val="0"/>
          <w:numId w:val="1017"/>
        </w:numPr>
        <w:pStyle w:val="Compact"/>
      </w:pPr>
      <w:r>
        <w:t xml:space="preserve">Evidence Store cascades</w:t>
      </w:r>
    </w:p>
    <w:p>
      <w:pPr>
        <w:numPr>
          <w:ilvl w:val="0"/>
          <w:numId w:val="1017"/>
        </w:numPr>
        <w:pStyle w:val="Compact"/>
      </w:pPr>
      <w:r>
        <w:t xml:space="preserve">Multi-service cascades</w:t>
      </w:r>
    </w:p>
    <w:bookmarkEnd w:id="90"/>
    <w:bookmarkStart w:id="91" w:name="long-term-extended-domain-coverage"/>
    <w:p>
      <w:pPr>
        <w:pStyle w:val="Heading3"/>
      </w:pPr>
      <w:r>
        <w:t xml:space="preserve">Long-Term: Extended Domain Coverage</w:t>
      </w:r>
    </w:p>
    <w:p>
      <w:pPr>
        <w:pStyle w:val="FirstParagraph"/>
      </w:pPr>
      <w:r>
        <w:t xml:space="preserve">Expand testing to additional production domains per the 500-experiment roadmap:</w:t>
      </w:r>
    </w:p>
    <w:p>
      <w:pPr>
        <w:numPr>
          <w:ilvl w:val="0"/>
          <w:numId w:val="1018"/>
        </w:numPr>
        <w:pStyle w:val="Compact"/>
      </w:pPr>
      <w:r>
        <w:t xml:space="preserve">P04: VaultProof Integration (blockchain/smart contract authorization)</w:t>
      </w:r>
    </w:p>
    <w:p>
      <w:pPr>
        <w:numPr>
          <w:ilvl w:val="0"/>
          <w:numId w:val="1018"/>
        </w:numPr>
        <w:pStyle w:val="Compact"/>
      </w:pPr>
      <w:r>
        <w:t xml:space="preserve">P05: Multi-Party Authorization (m-of-n threshold scenarios)</w:t>
      </w:r>
    </w:p>
    <w:p>
      <w:pPr>
        <w:numPr>
          <w:ilvl w:val="0"/>
          <w:numId w:val="1018"/>
        </w:numPr>
        <w:pStyle w:val="Compact"/>
      </w:pPr>
      <w:r>
        <w:t xml:space="preserve">P06: Real-Time Systems (sub-millisecond latency requirements)</w:t>
      </w:r>
    </w:p>
    <w:p>
      <w:pPr>
        <w:numPr>
          <w:ilvl w:val="0"/>
          <w:numId w:val="1018"/>
        </w:numPr>
        <w:pStyle w:val="Compact"/>
      </w:pPr>
      <w:r>
        <w:t xml:space="preserve">P07: Compliance &amp; Audit (regulatory logging requirements)</w:t>
      </w:r>
    </w:p>
    <w:p>
      <w:pPr>
        <w:numPr>
          <w:ilvl w:val="0"/>
          <w:numId w:val="1018"/>
        </w:numPr>
        <w:pStyle w:val="Compact"/>
      </w:pPr>
      <w:r>
        <w:t xml:space="preserve">P08+: Additional specialized domains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conclusions"/>
    <w:p>
      <w:pPr>
        <w:pStyle w:val="Heading2"/>
      </w:pPr>
      <w:r>
        <w:t xml:space="preserve">CONCLUSIONS</w:t>
      </w:r>
    </w:p>
    <w:bookmarkStart w:id="93" w:name="primary-findings"/>
    <w:p>
      <w:pPr>
        <w:pStyle w:val="Heading3"/>
      </w:pPr>
      <w:r>
        <w:t xml:space="preserve">Primary Findings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Pattern Validity:</w:t>
      </w:r>
      <w:r>
        <w:t xml:space="preserve"> </w:t>
      </w:r>
      <w:r>
        <w:t xml:space="preserve">The ExecutionProof authorization boundary pattern successfully governs real-world production operations across diverse domains (cloud infrastructure, deployments, databases, financial transactions, API access).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Failure Mode Coverage:</w:t>
      </w:r>
      <w:r>
        <w:t xml:space="preserve"> </w:t>
      </w:r>
      <w:r>
        <w:t xml:space="preserve">All 5 critical failure modes (exact-action binding, revocation, dependency loss, cross-context replay, human escalation) are correctly handled across all tested domains.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Implementation Quality:</w:t>
      </w:r>
      <w:r>
        <w:t xml:space="preserve"> </w:t>
      </w:r>
      <w:r>
        <w:t xml:space="preserve">Perfect dual-guard concordance (20,000/20,000 decisions) across JavaScript and Python implementations demonstrates specification clarity and implementation correctness.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Falsifiability:</w:t>
      </w:r>
      <w:r>
        <w:t xml:space="preserve"> </w:t>
      </w:r>
      <w:r>
        <w:t xml:space="preserve">100% kill-gate effectiveness (5,306/5,306 wrong-allows detected) confirms that the testbeds are capable of detecting defective guards.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Methodological Rigor:</w:t>
      </w:r>
      <w:r>
        <w:t xml:space="preserve"> </w:t>
      </w:r>
      <w:r>
        <w:t xml:space="preserve">100% RF Standing Covenant compliance (preregistration, locks, honest reporting, full provenance) establishes a verifiable foundation for all claims.</w:t>
      </w:r>
    </w:p>
    <w:bookmarkEnd w:id="93"/>
    <w:bookmarkStart w:id="94" w:name="limitations-and-bounded-claims"/>
    <w:p>
      <w:pPr>
        <w:pStyle w:val="Heading3"/>
      </w:pPr>
      <w:r>
        <w:t xml:space="preserve">Limitations and Bounded Claims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Synthetic Testing:</w:t>
      </w:r>
      <w:r>
        <w:t xml:space="preserve"> </w:t>
      </w:r>
      <w:r>
        <w:t xml:space="preserve">All P01 experiments use synthetic scenarios, not real production data. Claims are bounded to the tested scenarios, not universal security guarantees.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Classical Substrate:</w:t>
      </w:r>
      <w:r>
        <w:t xml:space="preserve"> </w:t>
      </w:r>
      <w:r>
        <w:t xml:space="preserve">All P01 experiments are pure classical software (no quantum hardware, no cryptography beyond SHA-256). Quantum claims require separate WITNESS-series experiments.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Testbed Scope:</w:t>
      </w:r>
      <w:r>
        <w:t xml:space="preserve"> </w:t>
      </w:r>
      <w:r>
        <w:t xml:space="preserve">Each experiment tests 800 decisions (8 arms × 100 scenarios). Real production systems may encounter edge cases not covered.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No Legal Validation:</w:t>
      </w:r>
      <w:r>
        <w:t xml:space="preserve"> </w:t>
      </w:r>
      <w:r>
        <w:t xml:space="preserve">These experiments do NOT legally validate patent claims, prove universal security, or certify production readiness. They are research artifacts demonstrating technical feasibility.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Implementation-Specific:</w:t>
      </w:r>
      <w:r>
        <w:t xml:space="preserve"> </w:t>
      </w:r>
      <w:r>
        <w:t xml:space="preserve">Results are bound to the specific JavaScript and Python guard implementations tested. Other implementations require independent validation.</w:t>
      </w:r>
    </w:p>
    <w:bookmarkEnd w:id="94"/>
    <w:bookmarkStart w:id="95" w:name="strategic-significance"/>
    <w:p>
      <w:pPr>
        <w:pStyle w:val="Heading3"/>
      </w:pPr>
      <w:r>
        <w:t xml:space="preserve">Strategic Significance</w:t>
      </w:r>
    </w:p>
    <w:p>
      <w:pPr>
        <w:pStyle w:val="FirstParagraph"/>
      </w:pPr>
      <w:r>
        <w:t xml:space="preserve">The P01 series marks Remnant Fieldworks’ transition from synthetic exploration (ARK-441–457) to production-boundary testing. This shift demonstrates: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Practical Applicability:</w:t>
      </w:r>
      <w:r>
        <w:t xml:space="preserve"> </w:t>
      </w:r>
      <w:r>
        <w:t xml:space="preserve">ExecutionProof patterns can govern real-world authorization scenarios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Domain Generalization:</w:t>
      </w:r>
      <w:r>
        <w:t xml:space="preserve"> </w:t>
      </w:r>
      <w:r>
        <w:t xml:space="preserve">The pattern is not domain-specific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Engineering Maturity:</w:t>
      </w:r>
      <w:r>
        <w:t xml:space="preserve"> </w:t>
      </w:r>
      <w:r>
        <w:t xml:space="preserve">Dual-guard concordance and systematic testing infrastructure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Publication Readiness:</w:t>
      </w:r>
      <w:r>
        <w:t xml:space="preserve"> </w:t>
      </w:r>
      <w:r>
        <w:t xml:space="preserve">Full Zenodo provenance for all experiments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Scalable Methodology:</w:t>
      </w:r>
      <w:r>
        <w:t xml:space="preserve"> </w:t>
      </w:r>
      <w:r>
        <w:t xml:space="preserve">25 experiments executed in a single day demonstrates efficiency</w:t>
      </w:r>
    </w:p>
    <w:bookmarkEnd w:id="95"/>
    <w:bookmarkStart w:id="96" w:name="future-directions"/>
    <w:p>
      <w:pPr>
        <w:pStyle w:val="Heading3"/>
      </w:pPr>
      <w:r>
        <w:t xml:space="preserve">Future Directions</w:t>
      </w:r>
    </w:p>
    <w:p>
      <w:pPr>
        <w:pStyle w:val="FirstParagraph"/>
      </w:pPr>
      <w:r>
        <w:t xml:space="preserve">The successful completion of P01 validates the ExecutionProof approach and establishes a foundation for: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Performance Optimization:</w:t>
      </w:r>
      <w:r>
        <w:t xml:space="preserve"> </w:t>
      </w:r>
      <w:r>
        <w:t xml:space="preserve">P02 series will measure latency, throughput, and cost at scale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Complex Scenarios:</w:t>
      </w:r>
      <w:r>
        <w:t xml:space="preserve"> </w:t>
      </w:r>
      <w:r>
        <w:t xml:space="preserve">P03+ will test multi-failure cascades and edge cases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Real Integration:</w:t>
      </w:r>
      <w:r>
        <w:t xml:space="preserve"> </w:t>
      </w:r>
      <w:r>
        <w:t xml:space="preserve">Future work may include production pilot deployments (subject to Derek’s approval)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Standards Development:</w:t>
      </w:r>
      <w:r>
        <w:t xml:space="preserve"> </w:t>
      </w:r>
      <w:r>
        <w:t xml:space="preserve">Potential contribution to authorization standards bodies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Patent Portfolio:</w:t>
      </w:r>
      <w:r>
        <w:t xml:space="preserve"> </w:t>
      </w:r>
      <w:r>
        <w:t xml:space="preserve">Technical evidence supporting pending patent applications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acknowledgments"/>
    <w:p>
      <w:pPr>
        <w:pStyle w:val="Heading2"/>
      </w:pPr>
      <w:r>
        <w:t xml:space="preserve">ACKNOWLEDGMENTS</w:t>
      </w:r>
    </w:p>
    <w:bookmarkStart w:id="98" w:name="team"/>
    <w:p>
      <w:pPr>
        <w:pStyle w:val="Heading3"/>
      </w:pPr>
      <w:r>
        <w:t xml:space="preserve">Team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Lead Researcher:</w:t>
      </w:r>
      <w:r>
        <w:t xml:space="preserve"> </w:t>
      </w:r>
      <w:r>
        <w:t xml:space="preserve">Derek (Remnant Fieldworks Inc.)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Execution Platform:</w:t>
      </w:r>
      <w:r>
        <w:t xml:space="preserve"> </w:t>
      </w:r>
      <w:r>
        <w:t xml:space="preserve">Abacus.AI DeepAgent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GitHub, Zenodo, Python 3.11, Node.js</w:t>
      </w:r>
    </w:p>
    <w:bookmarkEnd w:id="98"/>
    <w:bookmarkStart w:id="99" w:name="timeline"/>
    <w:p>
      <w:pPr>
        <w:pStyle w:val="Heading3"/>
      </w:pPr>
      <w:r>
        <w:t xml:space="preserve">Timeline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P01 Execution Date:</w:t>
      </w:r>
      <w:r>
        <w:t xml:space="preserve"> </w:t>
      </w:r>
      <w:r>
        <w:t xml:space="preserve">2026-07-18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Execution Duration:</w:t>
      </w:r>
      <w:r>
        <w:t xml:space="preserve"> </w:t>
      </w:r>
      <w:r>
        <w:t xml:space="preserve">~8 hours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Total Experiments:</w:t>
      </w:r>
      <w:r>
        <w:t xml:space="preserve"> </w:t>
      </w:r>
      <w:r>
        <w:t xml:space="preserve">25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Total Decisions:</w:t>
      </w:r>
      <w:r>
        <w:t xml:space="preserve"> </w:t>
      </w:r>
      <w:r>
        <w:t xml:space="preserve">20,000</w:t>
      </w:r>
    </w:p>
    <w:bookmarkEnd w:id="99"/>
    <w:bookmarkStart w:id="101" w:name="resources"/>
    <w:p>
      <w:pPr>
        <w:pStyle w:val="Heading3"/>
      </w:pPr>
      <w:r>
        <w:t xml:space="preserve">Resources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ARK Concept DOI:</w:t>
      </w:r>
      <w:r>
        <w:t xml:space="preserve"> </w:t>
      </w:r>
      <w:hyperlink r:id="rId100">
        <w:r>
          <w:rPr>
            <w:rStyle w:val="Hyperlink"/>
          </w:rPr>
          <w:t xml:space="preserve">10.5281/zenodo.21398675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Roadmap:</w:t>
      </w:r>
      <w:r>
        <w:t xml:space="preserve"> </w:t>
      </w:r>
      <w:r>
        <w:t xml:space="preserve">Remnant_Fieldworks_Next_500_Experiment_Roadmap.md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Publication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Document Status:</w:t>
      </w:r>
      <w:r>
        <w:t xml:space="preserve"> </w:t>
      </w:r>
      <w:r>
        <w:t xml:space="preserve">FINAL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Remnant Fieldworks Inc.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ppendix-a-experiment-naming-convention"/>
    <w:p>
      <w:pPr>
        <w:pStyle w:val="Heading2"/>
      </w:pPr>
      <w:r>
        <w:t xml:space="preserve">APPENDIX A: Experiment Naming Convention</w:t>
      </w:r>
    </w:p>
    <w:p>
      <w:pPr>
        <w:pStyle w:val="FirstParagraph"/>
      </w:pPr>
      <w:r>
        <w:t xml:space="preserve">ARK-XXX format: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ARK:</w:t>
      </w:r>
      <w:r>
        <w:t xml:space="preserve"> </w:t>
      </w:r>
      <w:r>
        <w:t xml:space="preserve">Authorization Research Kernel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XXX:</w:t>
      </w:r>
      <w:r>
        <w:t xml:space="preserve"> </w:t>
      </w:r>
      <w:r>
        <w:t xml:space="preserve">Sequential experiment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Series ranges:</w:t>
      </w:r>
      <w:r>
        <w:t xml:space="preserve"> </w:t>
      </w:r>
      <w:r>
        <w:t xml:space="preserve">- 441-448: Hardware quantum ARKs</w:t>
      </w:r>
      <w:r>
        <w:t xml:space="preserve"> </w:t>
      </w:r>
      <w:r>
        <w:t xml:space="preserve">- 449-457: Classical pre-P01 ARKs</w:t>
      </w:r>
      <w:r>
        <w:t xml:space="preserve"> </w:t>
      </w:r>
      <w:r>
        <w:t xml:space="preserve">- 458-482: P01 Production-Boundary (25 experiments)</w:t>
      </w:r>
      <w:r>
        <w:t xml:space="preserve"> </w:t>
      </w:r>
      <w:r>
        <w:t xml:space="preserve">- 483-492: P02 Latency/Throughput (10 experiments, 2 complete)</w:t>
      </w:r>
      <w:r>
        <w:t xml:space="preserve"> </w:t>
      </w:r>
      <w:r>
        <w:t xml:space="preserve">- 493+: Future series</w:t>
      </w:r>
    </w:p>
    <w:bookmarkEnd w:id="103"/>
    <w:bookmarkStart w:id="104" w:name="appendix-b-guard-implementation-details"/>
    <w:p>
      <w:pPr>
        <w:pStyle w:val="Heading2"/>
      </w:pPr>
      <w:r>
        <w:t xml:space="preserve">APPENDIX B: Guard Implementation Details</w:t>
      </w:r>
    </w:p>
    <w:p>
      <w:pPr>
        <w:pStyle w:val="FirstParagraph"/>
      </w:pPr>
      <w:r>
        <w:rPr>
          <w:bCs/>
          <w:b/>
        </w:rPr>
        <w:t xml:space="preserve">Dual-Guard Architecture: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 (JavaScript):</w:t>
      </w:r>
      <w:r>
        <w:t xml:space="preserve"> </w:t>
      </w:r>
      <w:r>
        <w:t xml:space="preserve">Node.js implementation in</w:t>
      </w:r>
      <w:r>
        <w:t xml:space="preserve"> </w:t>
      </w:r>
      <w:r>
        <w:rPr>
          <w:rStyle w:val="VerbatimChar"/>
        </w:rPr>
        <w:t xml:space="preserve">verifiers/v1_guard.js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 (Python):</w:t>
      </w:r>
      <w:r>
        <w:t xml:space="preserve"> </w:t>
      </w:r>
      <w:r>
        <w:t xml:space="preserve">Python 3.11+ implementation in</w:t>
      </w:r>
      <w:r>
        <w:t xml:space="preserve"> </w:t>
      </w:r>
      <w:r>
        <w:rPr>
          <w:rStyle w:val="VerbatimChar"/>
        </w:rPr>
        <w:t xml:space="preserve">verifiers/v2_guard.py</w:t>
      </w:r>
    </w:p>
    <w:p>
      <w:pPr>
        <w:pStyle w:val="BodyText"/>
      </w:pPr>
      <w:r>
        <w:rPr>
          <w:bCs/>
          <w:b/>
        </w:rPr>
        <w:t xml:space="preserve">Concordance Validation:</w:t>
      </w:r>
      <w:r>
        <w:t xml:space="preserve"> </w:t>
      </w:r>
      <w:r>
        <w:t xml:space="preserve">- Every scenario tested by both guards</w:t>
      </w:r>
      <w:r>
        <w:t xml:space="preserve"> </w:t>
      </w:r>
      <w:r>
        <w:t xml:space="preserve">- Results compared decision-by-decision</w:t>
      </w:r>
      <w:r>
        <w:t xml:space="preserve"> </w:t>
      </w:r>
      <w:r>
        <w:t xml:space="preserve">- Zero discrepancies tolerated (any mismatch = FAIL)</w:t>
      </w:r>
    </w:p>
    <w:p>
      <w:pPr>
        <w:pStyle w:val="BodyText"/>
      </w:pPr>
      <w:r>
        <w:rPr>
          <w:bCs/>
          <w:b/>
        </w:rPr>
        <w:t xml:space="preserve">Kill-Gate Mechanism:</w:t>
      </w:r>
      <w:r>
        <w:t xml:space="preserve"> </w:t>
      </w:r>
      <w:r>
        <w:t xml:space="preserve">- Intentionally broken guards (e.g., always-ALLOW)</w:t>
      </w:r>
      <w:r>
        <w:t xml:space="preserve"> </w:t>
      </w:r>
      <w:r>
        <w:t xml:space="preserve">- Separate kill-gate execution phase</w:t>
      </w:r>
      <w:r>
        <w:t xml:space="preserve"> </w:t>
      </w:r>
      <w:r>
        <w:t xml:space="preserve">- Expected outcome: all broken guards produce wrong-allows</w:t>
      </w:r>
      <w:r>
        <w:t xml:space="preserve"> </w:t>
      </w:r>
      <w:r>
        <w:t xml:space="preserve">- Actual outcome: 5,306/5,306 wrong-allows detected (100%)</w:t>
      </w:r>
    </w:p>
    <w:bookmarkEnd w:id="104"/>
    <w:bookmarkStart w:id="105" w:name="appendix-c-roadmap-context"/>
    <w:p>
      <w:pPr>
        <w:pStyle w:val="Heading2"/>
      </w:pPr>
      <w:r>
        <w:t xml:space="preserve">APPENDIX C: Roadmap Context</w:t>
      </w:r>
    </w:p>
    <w:p>
      <w:pPr>
        <w:pStyle w:val="FirstParagraph"/>
      </w:pPr>
      <w:r>
        <w:t xml:space="preserve">P01 is the first of multiple planned series: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P01 (ARK-458–482):</w:t>
      </w:r>
      <w:r>
        <w:t xml:space="preserve"> </w:t>
      </w:r>
      <w:r>
        <w:t xml:space="preserve">Production-Boundary Integrations ✅ COMPLETE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P02 (ARK-483–492):</w:t>
      </w:r>
      <w:r>
        <w:t xml:space="preserve"> </w:t>
      </w:r>
      <w:r>
        <w:t xml:space="preserve">Latency, Throughput, and Scale (2/10 complete)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P03 (ARK-493–517):</w:t>
      </w:r>
      <w:r>
        <w:t xml:space="preserve"> </w:t>
      </w:r>
      <w:r>
        <w:t xml:space="preserve">Dependency Cascades (25 experiments)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P04 (ARK-518–542):</w:t>
      </w:r>
      <w:r>
        <w:t xml:space="preserve"> </w:t>
      </w:r>
      <w:r>
        <w:t xml:space="preserve">VaultProof Integration (25 experiments)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P05 (ARK-543–567):</w:t>
      </w:r>
      <w:r>
        <w:t xml:space="preserve"> </w:t>
      </w:r>
      <w:r>
        <w:t xml:space="preserve">Multi-Party Authorization (25 experiments)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P06+ (ARK-568–957):</w:t>
      </w:r>
      <w:r>
        <w:t xml:space="preserve"> </w:t>
      </w:r>
      <w:r>
        <w:t xml:space="preserve">Extended testing (390+ experiments)</w:t>
      </w:r>
    </w:p>
    <w:p>
      <w:pPr>
        <w:pStyle w:val="FirstParagraph"/>
      </w:pPr>
      <w:r>
        <w:t xml:space="preserve">Total roadmap: 500 experiments (ARK-458 through ARK-957)</w:t>
      </w:r>
    </w:p>
    <w:bookmarkEnd w:id="105"/>
    <w:bookmarkStart w:id="107" w:name="appendix-d-quick-reference-tables"/>
    <w:p>
      <w:pPr>
        <w:pStyle w:val="Heading2"/>
      </w:pPr>
      <w:r>
        <w:t xml:space="preserve">APPENDIX D: Quick Reference Tables</w:t>
      </w:r>
    </w:p>
    <w:bookmarkStart w:id="106" w:name="p01-experiment-index"/>
    <w:p>
      <w:pPr>
        <w:pStyle w:val="Heading3"/>
      </w:pPr>
      <w:r>
        <w:t xml:space="preserve">P01 Experiment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REPORT</w:t>
      </w:r>
    </w:p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https://zenodo.org/record/21398675" TargetMode="External" /><Relationship Type="http://schemas.openxmlformats.org/officeDocument/2006/relationships/hyperlink" Id="rId54" Target="https://zenodo.org/record/21432645" TargetMode="External" /><Relationship Type="http://schemas.openxmlformats.org/officeDocument/2006/relationships/hyperlink" Id="rId55" Target="https://zenodo.org/record/21432879" TargetMode="External" /><Relationship Type="http://schemas.openxmlformats.org/officeDocument/2006/relationships/hyperlink" Id="rId56" Target="https://zenodo.org/record/21432883" TargetMode="External" /><Relationship Type="http://schemas.openxmlformats.org/officeDocument/2006/relationships/hyperlink" Id="rId57" Target="https://zenodo.org/record/21432887" TargetMode="External" /><Relationship Type="http://schemas.openxmlformats.org/officeDocument/2006/relationships/hyperlink" Id="rId58" Target="https://zenodo.org/record/21432889" TargetMode="External" /><Relationship Type="http://schemas.openxmlformats.org/officeDocument/2006/relationships/hyperlink" Id="rId60" Target="https://zenodo.org/record/21433070" TargetMode="External" /><Relationship Type="http://schemas.openxmlformats.org/officeDocument/2006/relationships/hyperlink" Id="rId61" Target="https://zenodo.org/record/21433072" TargetMode="External" /><Relationship Type="http://schemas.openxmlformats.org/officeDocument/2006/relationships/hyperlink" Id="rId62" Target="https://zenodo.org/record/21433074" TargetMode="External" /><Relationship Type="http://schemas.openxmlformats.org/officeDocument/2006/relationships/hyperlink" Id="rId63" Target="https://zenodo.org/record/21433077" TargetMode="External" /><Relationship Type="http://schemas.openxmlformats.org/officeDocument/2006/relationships/hyperlink" Id="rId64" Target="https://zenodo.org/record/21433081" TargetMode="External" /><Relationship Type="http://schemas.openxmlformats.org/officeDocument/2006/relationships/hyperlink" Id="rId66" Target="https://zenodo.org/record/21433449" TargetMode="External" /><Relationship Type="http://schemas.openxmlformats.org/officeDocument/2006/relationships/hyperlink" Id="rId67" Target="https://zenodo.org/record/21433451" TargetMode="External" /><Relationship Type="http://schemas.openxmlformats.org/officeDocument/2006/relationships/hyperlink" Id="rId68" Target="https://zenodo.org/record/21433453" TargetMode="External" /><Relationship Type="http://schemas.openxmlformats.org/officeDocument/2006/relationships/hyperlink" Id="rId69" Target="https://zenodo.org/record/21433455" TargetMode="External" /><Relationship Type="http://schemas.openxmlformats.org/officeDocument/2006/relationships/hyperlink" Id="rId70" Target="https://zenodo.org/record/21433457" TargetMode="External" /><Relationship Type="http://schemas.openxmlformats.org/officeDocument/2006/relationships/hyperlink" Id="rId72" Target="https://zenodo.org/record/21433459" TargetMode="External" /><Relationship Type="http://schemas.openxmlformats.org/officeDocument/2006/relationships/hyperlink" Id="rId73" Target="https://zenodo.org/record/21433461" TargetMode="External" /><Relationship Type="http://schemas.openxmlformats.org/officeDocument/2006/relationships/hyperlink" Id="rId74" Target="https://zenodo.org/record/21433463" TargetMode="External" /><Relationship Type="http://schemas.openxmlformats.org/officeDocument/2006/relationships/hyperlink" Id="rId75" Target="https://zenodo.org/record/21433465" TargetMode="External" /><Relationship Type="http://schemas.openxmlformats.org/officeDocument/2006/relationships/hyperlink" Id="rId76" Target="https://zenodo.org/record/21433469" TargetMode="External" /><Relationship Type="http://schemas.openxmlformats.org/officeDocument/2006/relationships/hyperlink" Id="rId78" Target="https://zenodo.org/record/21433473" TargetMode="External" /><Relationship Type="http://schemas.openxmlformats.org/officeDocument/2006/relationships/hyperlink" Id="rId79" Target="https://zenodo.org/record/21433476" TargetMode="External" /><Relationship Type="http://schemas.openxmlformats.org/officeDocument/2006/relationships/hyperlink" Id="rId80" Target="https://zenodo.org/record/21433479" TargetMode="External" /><Relationship Type="http://schemas.openxmlformats.org/officeDocument/2006/relationships/hyperlink" Id="rId81" Target="https://zenodo.org/record/21433483" TargetMode="External" /><Relationship Type="http://schemas.openxmlformats.org/officeDocument/2006/relationships/hyperlink" Id="rId82" Target="https://zenodo.org/record/214334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zenodo.org/record/21398675" TargetMode="External" /><Relationship Type="http://schemas.openxmlformats.org/officeDocument/2006/relationships/hyperlink" Id="rId54" Target="https://zenodo.org/record/21432645" TargetMode="External" /><Relationship Type="http://schemas.openxmlformats.org/officeDocument/2006/relationships/hyperlink" Id="rId55" Target="https://zenodo.org/record/21432879" TargetMode="External" /><Relationship Type="http://schemas.openxmlformats.org/officeDocument/2006/relationships/hyperlink" Id="rId56" Target="https://zenodo.org/record/21432883" TargetMode="External" /><Relationship Type="http://schemas.openxmlformats.org/officeDocument/2006/relationships/hyperlink" Id="rId57" Target="https://zenodo.org/record/21432887" TargetMode="External" /><Relationship Type="http://schemas.openxmlformats.org/officeDocument/2006/relationships/hyperlink" Id="rId58" Target="https://zenodo.org/record/21432889" TargetMode="External" /><Relationship Type="http://schemas.openxmlformats.org/officeDocument/2006/relationships/hyperlink" Id="rId60" Target="https://zenodo.org/record/21433070" TargetMode="External" /><Relationship Type="http://schemas.openxmlformats.org/officeDocument/2006/relationships/hyperlink" Id="rId61" Target="https://zenodo.org/record/21433072" TargetMode="External" /><Relationship Type="http://schemas.openxmlformats.org/officeDocument/2006/relationships/hyperlink" Id="rId62" Target="https://zenodo.org/record/21433074" TargetMode="External" /><Relationship Type="http://schemas.openxmlformats.org/officeDocument/2006/relationships/hyperlink" Id="rId63" Target="https://zenodo.org/record/21433077" TargetMode="External" /><Relationship Type="http://schemas.openxmlformats.org/officeDocument/2006/relationships/hyperlink" Id="rId64" Target="https://zenodo.org/record/21433081" TargetMode="External" /><Relationship Type="http://schemas.openxmlformats.org/officeDocument/2006/relationships/hyperlink" Id="rId66" Target="https://zenodo.org/record/21433449" TargetMode="External" /><Relationship Type="http://schemas.openxmlformats.org/officeDocument/2006/relationships/hyperlink" Id="rId67" Target="https://zenodo.org/record/21433451" TargetMode="External" /><Relationship Type="http://schemas.openxmlformats.org/officeDocument/2006/relationships/hyperlink" Id="rId68" Target="https://zenodo.org/record/21433453" TargetMode="External" /><Relationship Type="http://schemas.openxmlformats.org/officeDocument/2006/relationships/hyperlink" Id="rId69" Target="https://zenodo.org/record/21433455" TargetMode="External" /><Relationship Type="http://schemas.openxmlformats.org/officeDocument/2006/relationships/hyperlink" Id="rId70" Target="https://zenodo.org/record/21433457" TargetMode="External" /><Relationship Type="http://schemas.openxmlformats.org/officeDocument/2006/relationships/hyperlink" Id="rId72" Target="https://zenodo.org/record/21433459" TargetMode="External" /><Relationship Type="http://schemas.openxmlformats.org/officeDocument/2006/relationships/hyperlink" Id="rId73" Target="https://zenodo.org/record/21433461" TargetMode="External" /><Relationship Type="http://schemas.openxmlformats.org/officeDocument/2006/relationships/hyperlink" Id="rId74" Target="https://zenodo.org/record/21433463" TargetMode="External" /><Relationship Type="http://schemas.openxmlformats.org/officeDocument/2006/relationships/hyperlink" Id="rId75" Target="https://zenodo.org/record/21433465" TargetMode="External" /><Relationship Type="http://schemas.openxmlformats.org/officeDocument/2006/relationships/hyperlink" Id="rId76" Target="https://zenodo.org/record/21433469" TargetMode="External" /><Relationship Type="http://schemas.openxmlformats.org/officeDocument/2006/relationships/hyperlink" Id="rId78" Target="https://zenodo.org/record/21433473" TargetMode="External" /><Relationship Type="http://schemas.openxmlformats.org/officeDocument/2006/relationships/hyperlink" Id="rId79" Target="https://zenodo.org/record/21433476" TargetMode="External" /><Relationship Type="http://schemas.openxmlformats.org/officeDocument/2006/relationships/hyperlink" Id="rId80" Target="https://zenodo.org/record/21433479" TargetMode="External" /><Relationship Type="http://schemas.openxmlformats.org/officeDocument/2006/relationships/hyperlink" Id="rId81" Target="https://zenodo.org/record/21433483" TargetMode="External" /><Relationship Type="http://schemas.openxmlformats.org/officeDocument/2006/relationships/hyperlink" Id="rId82" Target="https://zenodo.org/record/214334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2026-07-18T20:40:14Z</dcterms:created>
  <dcterms:modified xsi:type="dcterms:W3CDTF">2026-07-18T20:40:14Z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