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rinity-1-the-three-processor-witness"/>
    <w:p>
      <w:pPr>
        <w:pStyle w:val="Heading1"/>
      </w:pPr>
      <w:r>
        <w:t xml:space="preserve">TRINITY-1 — The Three-Processor Witness</w:t>
      </w:r>
    </w:p>
    <w:p>
      <w:pPr>
        <w:pStyle w:val="FirstParagraph"/>
      </w:pPr>
      <w:r>
        <w:rPr>
          <w:bCs/>
          <w:b/>
        </w:rPr>
        <w:t xml:space="preserve">Remnant Fieldworks Inc. · Coherent Inheritance Framework (CIF) · ExecutionProof-governed</w:t>
      </w:r>
    </w:p>
    <w:p>
      <w:pPr>
        <w:pStyle w:val="BodyText"/>
      </w:pPr>
      <w:r>
        <w:rPr>
          <w:bCs/>
          <w:b/>
        </w:rPr>
        <w:t xml:space="preserve">Preregistration document — locked before execution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MANIFEST.sha256</w:t>
      </w:r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20" w:name="one-line-statement-of-the-experiment"/>
    <w:p>
      <w:pPr>
        <w:pStyle w:val="Heading2"/>
      </w:pPr>
      <w:r>
        <w:t xml:space="preserve">0. One-line statement of the experiment</w:t>
      </w:r>
    </w:p>
    <w:p>
      <w:pPr>
        <w:pStyle w:val="FirstParagraph"/>
      </w:pPr>
      <w:r>
        <w:t xml:space="preserve">A preregistered demonstration in which a</w:t>
      </w:r>
      <w:r>
        <w:t xml:space="preserve"> </w:t>
      </w:r>
      <w:r>
        <w:rPr>
          <w:bCs/>
          <w:b/>
        </w:rPr>
        <w:t xml:space="preserve">single nonclassicality witness (Bell–CHSH)</w:t>
      </w:r>
      <w:r>
        <w:t xml:space="preserve"> </w:t>
      </w:r>
      <w:r>
        <w:t xml:space="preserve">is</w:t>
      </w:r>
      <w:r>
        <w:t xml:space="preserve"> </w:t>
      </w:r>
      <w:r>
        <w:t xml:space="preserve">executed</w:t>
      </w:r>
      <w:r>
        <w:t xml:space="preserve"> </w:t>
      </w:r>
      <w:r>
        <w:rPr>
          <w:bCs/>
          <w:b/>
        </w:rPr>
        <w:t xml:space="preserve">independently on three separate physical quantum processors</w:t>
      </w:r>
      <w:r>
        <w:t xml:space="preserve">, each processor’s</w:t>
      </w:r>
      <w:r>
        <w:t xml:space="preserve"> </w:t>
      </w:r>
      <w:r>
        <w:t xml:space="preserve">result is evaluated on its own against the classical bound, and all three device records are</w:t>
      </w:r>
      <w:r>
        <w:t xml:space="preserve"> </w:t>
      </w:r>
      <w:r>
        <w:rPr>
          <w:bCs/>
          <w:b/>
        </w:rPr>
        <w:t xml:space="preserve">cryptographically fused into one chain-linked, independently reconstructable ExecutionProof</w:t>
      </w:r>
      <w:r>
        <w:rPr>
          <w:bCs/>
          <w:b/>
        </w:rPr>
        <w:t xml:space="preserve"> </w:t>
      </w:r>
      <w:r>
        <w:rPr>
          <w:bCs/>
          <w:b/>
        </w:rPr>
        <w:t xml:space="preserve">governance record</w:t>
      </w:r>
      <w:r>
        <w:t xml:space="preserve">.</w:t>
      </w:r>
    </w:p>
    <w:bookmarkEnd w:id="20"/>
    <w:bookmarkStart w:id="21" w:name="purpose-and-honest-novelty-claim"/>
    <w:p>
      <w:pPr>
        <w:pStyle w:val="Heading2"/>
      </w:pPr>
      <w:r>
        <w:t xml:space="preserve">1. Purpose and honest novelty claim</w:t>
      </w:r>
    </w:p>
    <w:p>
      <w:pPr>
        <w:pStyle w:val="FirstParagraph"/>
      </w:pPr>
      <w:r>
        <w:t xml:space="preserve">The prior corpus (WITNESS-1→3, BELLWETHER, CHRONO, OMNI-1) demonstrated multiple</w:t>
      </w:r>
      <w:r>
        <w:t xml:space="preserve"> </w:t>
      </w:r>
      <w:r>
        <w:t xml:space="preserve">nonclassicality families and bound them into governed ProofRecords</w:t>
      </w:r>
      <w:r>
        <w:t xml:space="preserve"> </w:t>
      </w:r>
      <w:r>
        <w:rPr>
          <w:bCs/>
          <w:b/>
        </w:rPr>
        <w:t xml:space="preserve">on a single processor per</w:t>
      </w:r>
      <w:r>
        <w:rPr>
          <w:bCs/>
          <w:b/>
        </w:rPr>
        <w:t xml:space="preserve"> </w:t>
      </w:r>
      <w:r>
        <w:rPr>
          <w:bCs/>
          <w:b/>
        </w:rPr>
        <w:t xml:space="preserve">record</w:t>
      </w:r>
      <w:r>
        <w:t xml:space="preserve">. TRINITY-1 changes one variable only:</w:t>
      </w:r>
      <w:r>
        <w:t xml:space="preserve"> </w:t>
      </w:r>
      <w:r>
        <w:rPr>
          <w:bCs/>
          <w:b/>
        </w:rPr>
        <w:t xml:space="preserve">the number of independent physical devices</w:t>
      </w:r>
      <w:r>
        <w:rPr>
          <w:bCs/>
          <w:b/>
        </w:rPr>
        <w:t xml:space="preserve"> </w:t>
      </w:r>
      <w:r>
        <w:rPr>
          <w:bCs/>
          <w:b/>
        </w:rPr>
        <w:t xml:space="preserve">carrying the same witness inside one governed record.</w:t>
      </w:r>
    </w:p>
    <w:p>
      <w:pPr>
        <w:pStyle w:val="BodyText"/>
      </w:pPr>
      <w:r>
        <w:rPr>
          <w:bCs/>
          <w:b/>
        </w:rPr>
        <w:t xml:space="preserve">Novelty claim (kept deliberately narrow):</w:t>
      </w:r>
    </w:p>
    <w:p>
      <w:pPr>
        <w:pStyle w:val="BlockText"/>
      </w:pPr>
      <w:r>
        <w:rPr>
          <w:iCs/>
          <w:i/>
        </w:rPr>
        <w:t xml:space="preserve">To our knowledge, TRINITY-1 is the first preregistered ExecutionProof record in which one</w:t>
      </w:r>
      <w:r>
        <w:rPr>
          <w:iCs/>
          <w:i/>
        </w:rPr>
        <w:t xml:space="preserve"> </w:t>
      </w:r>
      <w:r>
        <w:rPr>
          <w:iCs/>
          <w:i/>
        </w:rPr>
        <w:t xml:space="preserve">nonclassicality witness is independently evaluated on three distinct quantum processors and</w:t>
      </w:r>
      <w:r>
        <w:rPr>
          <w:iCs/>
          <w:i/>
        </w:rPr>
        <w:t xml:space="preserve"> </w:t>
      </w:r>
      <w:r>
        <w:rPr>
          <w:iCs/>
          <w:i/>
        </w:rPr>
        <w:t xml:space="preserve">the three device-level results are fused, with external entropy and a prior-record chain</w:t>
      </w:r>
      <w:r>
        <w:rPr>
          <w:iCs/>
          <w:i/>
        </w:rPr>
        <w:t xml:space="preserve"> </w:t>
      </w:r>
      <w:r>
        <w:rPr>
          <w:iCs/>
          <w:i/>
        </w:rPr>
        <w:t xml:space="preserve">link, into a single tamper-evident, independently reconstructable authorization record.</w:t>
      </w:r>
    </w:p>
    <w:p>
      <w:pPr>
        <w:pStyle w:val="FirstParagraph"/>
      </w:pPr>
      <w:r>
        <w:t xml:space="preserve">What this claim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(explicit anti-overclaim guardrails):</w:t>
      </w:r>
    </w:p>
    <w:p>
      <w:pPr>
        <w:numPr>
          <w:ilvl w:val="0"/>
          <w:numId w:val="1001"/>
        </w:numPr>
        <w:pStyle w:val="Compact"/>
      </w:pP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“</w:t>
      </w:r>
      <w:r>
        <w:t xml:space="preserve">the world’s first</w:t>
      </w:r>
      <w:r>
        <w:t xml:space="preserve">”</w:t>
      </w:r>
      <w:r>
        <w:t xml:space="preserve"> </w:t>
      </w:r>
      <w:r>
        <w:t xml:space="preserve">anything. The phrase used is</w:t>
      </w:r>
      <w:r>
        <w:t xml:space="preserve"> </w:t>
      </w:r>
      <w:r>
        <w:t xml:space="preserve">“</w:t>
      </w:r>
      <w:r>
        <w:t xml:space="preserve">to our knowledge, the first</w:t>
      </w:r>
      <w:r>
        <w:t xml:space="preserve"> </w:t>
      </w:r>
      <w:r>
        <w:t xml:space="preserve">… within our own catalog and the literature we have surveyed,</w:t>
      </w:r>
      <w:r>
        <w:t xml:space="preserve">”</w:t>
      </w:r>
      <w:r>
        <w:t xml:space="preserve"> </w:t>
      </w:r>
      <w:r>
        <w:t xml:space="preserve">and it may be withdrawn if a</w:t>
      </w:r>
      <w:r>
        <w:t xml:space="preserve"> </w:t>
      </w:r>
      <w:r>
        <w:t xml:space="preserve">prior instance is identified.</w:t>
      </w:r>
    </w:p>
    <w:p>
      <w:pPr>
        <w:numPr>
          <w:ilvl w:val="0"/>
          <w:numId w:val="1001"/>
        </w:numPr>
        <w:pStyle w:val="Compact"/>
      </w:pPr>
      <w:r>
        <w:t xml:space="preserve">Cross-device agreement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loophole closure. Reproducing the same violation on three</w:t>
      </w:r>
      <w:r>
        <w:t xml:space="preserve"> </w:t>
      </w:r>
      <w:r>
        <w:t xml:space="preserve">independent devices is a</w:t>
      </w:r>
      <w:r>
        <w:t xml:space="preserve"> </w:t>
      </w:r>
      <w:r>
        <w:rPr>
          <w:bCs/>
          <w:b/>
        </w:rPr>
        <w:t xml:space="preserve">robustness and provenance</w:t>
      </w:r>
      <w:r>
        <w:t xml:space="preserve"> </w:t>
      </w:r>
      <w:r>
        <w:t xml:space="preserve">result, not a device-independent or</w:t>
      </w:r>
      <w:r>
        <w:t xml:space="preserve"> </w:t>
      </w:r>
      <w:r>
        <w:t xml:space="preserve">loophole-free physics claim. Locality, detection, and freedom-of-choice loopholes remain</w:t>
      </w:r>
      <w:r>
        <w:t xml:space="preserve"> </w:t>
      </w:r>
      <w:r>
        <w:rPr>
          <w:bCs/>
          <w:b/>
        </w:rPr>
        <w:t xml:space="preserve">open</w:t>
      </w:r>
      <w:r>
        <w:t xml:space="preserve"> </w:t>
      </w:r>
      <w:r>
        <w:t xml:space="preserve">exactly as in every prior RF hardware witness.</w:t>
      </w:r>
    </w:p>
    <w:p>
      <w:pPr>
        <w:numPr>
          <w:ilvl w:val="0"/>
          <w:numId w:val="1001"/>
        </w:numPr>
        <w:pStyle w:val="Compact"/>
      </w:pP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security proof, a randomness-certification proof, or a production</w:t>
      </w:r>
      <w:r>
        <w:t xml:space="preserve"> </w:t>
      </w:r>
      <w:r>
        <w:t xml:space="preserve">certification. It is an experimental evidence record.</w:t>
      </w:r>
    </w:p>
    <w:p>
      <w:pPr>
        <w:numPr>
          <w:ilvl w:val="0"/>
          <w:numId w:val="1001"/>
        </w:numPr>
        <w:pStyle w:val="Compact"/>
      </w:pPr>
      <w:r>
        <w:t xml:space="preserve">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claim entanglement</w:t>
      </w:r>
      <w:r>
        <w:t xml:space="preserve"> </w:t>
      </w:r>
      <w:r>
        <w:rPr>
          <w:iCs/>
          <w:i/>
        </w:rPr>
        <w:t xml:space="preserve">between</w:t>
      </w:r>
      <w:r>
        <w:t xml:space="preserve"> </w:t>
      </w:r>
      <w:r>
        <w:t xml:space="preserve">the three processors. The three devices are</w:t>
      </w:r>
      <w:r>
        <w:t xml:space="preserve"> </w:t>
      </w:r>
      <w:r>
        <w:t xml:space="preserve">spatially and operationally independent; there is no shared quantum channel. TRINITY-1</w:t>
      </w:r>
      <w:r>
        <w:t xml:space="preserve"> </w:t>
      </w:r>
      <w:r>
        <w:t xml:space="preserve">certifies the</w:t>
      </w:r>
      <w:r>
        <w:t xml:space="preserve"> </w:t>
      </w:r>
      <w:r>
        <w:rPr>
          <w:bCs/>
          <w:b/>
        </w:rPr>
        <w:t xml:space="preserve">same nonclassical signature, independently, on three machines</w:t>
      </w:r>
      <w:r>
        <w:t xml:space="preserve">, then binds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classical records</w:t>
      </w:r>
      <w:r>
        <w:t xml:space="preserve"> </w:t>
      </w:r>
      <w:r>
        <w:t xml:space="preserve">together cryptographically.</w:t>
      </w:r>
    </w:p>
    <w:bookmarkEnd w:id="21"/>
    <w:bookmarkStart w:id="22" w:name="X55e9872e1dd8cb083237abe9f051d7078bc0347"/>
    <w:p>
      <w:pPr>
        <w:pStyle w:val="Heading2"/>
      </w:pPr>
      <w:r>
        <w:t xml:space="preserve">2. Why this is worth quantum time (purpose gate)</w:t>
      </w:r>
    </w:p>
    <w:p>
      <w:pPr>
        <w:pStyle w:val="FirstParagraph"/>
      </w:pPr>
      <w:r>
        <w:t xml:space="preserve">Per RF’s standing experiment-purpose rule, TRINITY-1 must answer at least one of: buyer</w:t>
      </w:r>
      <w:r>
        <w:t xml:space="preserve"> </w:t>
      </w:r>
      <w:r>
        <w:t xml:space="preserve">question / product improvement / RF-100 requirement / patent opportunity / genuine failure</w:t>
      </w:r>
      <w:r>
        <w:t xml:space="preserve"> </w:t>
      </w:r>
      <w:r>
        <w:t xml:space="preserve">mode. TRINITY-1 satisfies four: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 (ExecutionProof):</w:t>
      </w:r>
      <w:r>
        <w:t xml:space="preserve"> </w:t>
      </w:r>
      <w:r>
        <w:t xml:space="preserve">demonstrates that a single ProofRecord can bind evidence</w:t>
      </w:r>
      <w:r>
        <w:t xml:space="preserve"> </w:t>
      </w:r>
      <w:r>
        <w:t xml:space="preserve">sourced from</w:t>
      </w:r>
      <w:r>
        <w:t xml:space="preserve"> </w:t>
      </w:r>
      <w:r>
        <w:rPr>
          <w:bCs/>
          <w:b/>
        </w:rPr>
        <w:t xml:space="preserve">multiple heterogeneous hardware roots of trust</w:t>
      </w:r>
      <w:r>
        <w:t xml:space="preserve"> </w:t>
      </w:r>
      <w:r>
        <w:t xml:space="preserve">— the exact shape of a</w:t>
      </w:r>
      <w:r>
        <w:t xml:space="preserve"> </w:t>
      </w:r>
      <w:r>
        <w:t xml:space="preserve">multi-region / multi-vendor authorization boundary a buyer would deploy.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Failure mode:</w:t>
      </w:r>
      <w:r>
        <w:t xml:space="preserve"> </w:t>
      </w:r>
      <w:r>
        <w:t xml:space="preserve">exercises the governance layer’s behavior when devices</w:t>
      </w:r>
      <w:r>
        <w:t xml:space="preserve"> </w:t>
      </w:r>
      <w:r>
        <w:rPr>
          <w:bCs/>
          <w:b/>
        </w:rPr>
        <w:t xml:space="preserve">disagree</w:t>
      </w:r>
      <w:r>
        <w:t xml:space="preserve"> </w:t>
      </w:r>
      <w:r>
        <w:t xml:space="preserve">(the</w:t>
      </w:r>
      <w:r>
        <w:t xml:space="preserve"> </w:t>
      </w:r>
      <w:r>
        <w:t xml:space="preserve">preregistered verdict logic must HOLD or DENY, not silently average away a dissenting</w:t>
      </w:r>
      <w:r>
        <w:t xml:space="preserve"> </w:t>
      </w:r>
      <w:r>
        <w:t xml:space="preserve">device).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RF-100:</w:t>
      </w:r>
      <w:r>
        <w:t xml:space="preserve"> </w:t>
      </w:r>
      <w:r>
        <w:t xml:space="preserve">supplies a concrete</w:t>
      </w:r>
      <w:r>
        <w:t xml:space="preserve"> </w:t>
      </w:r>
      <w:r>
        <w:t xml:space="preserve">“</w:t>
      </w:r>
      <w:r>
        <w:t xml:space="preserve">multi-root evidence binding</w:t>
      </w:r>
      <w:r>
        <w:t xml:space="preserve">”</w:t>
      </w:r>
      <w:r>
        <w:t xml:space="preserve"> </w:t>
      </w:r>
      <w:r>
        <w:t xml:space="preserve">reference for the standard.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IP:</w:t>
      </w:r>
      <w:r>
        <w:t xml:space="preserve"> </w:t>
      </w:r>
      <w:r>
        <w:t xml:space="preserve">the cross-device fused-nonce construction is a candidate for the defensive-</w:t>
      </w:r>
      <w:r>
        <w:t xml:space="preserve"> </w:t>
      </w:r>
      <w:r>
        <w:t xml:space="preserve">publication / provisional portfolio (no claim of a granted patent is made here).</w:t>
      </w:r>
    </w:p>
    <w:bookmarkEnd w:id="22"/>
    <w:bookmarkStart w:id="23" w:name="devices-under-test-dut"/>
    <w:p>
      <w:pPr>
        <w:pStyle w:val="Heading2"/>
      </w:pPr>
      <w:r>
        <w:t xml:space="preserve">3. Devices under test (DUT)</w:t>
      </w:r>
    </w:p>
    <w:p>
      <w:pPr>
        <w:pStyle w:val="FirstParagraph"/>
      </w:pPr>
      <w:r>
        <w:t xml:space="preserve">Three IBM Quantum processors, all</w:t>
      </w:r>
      <w:r>
        <w:t xml:space="preserve"> </w:t>
      </w:r>
      <w:r>
        <w:rPr>
          <w:bCs/>
          <w:b/>
        </w:rPr>
        <w:t xml:space="preserve">Heron r2, 156 qubits</w:t>
      </w:r>
      <w:r>
        <w:t xml:space="preserve">, visible on the account at</w:t>
      </w:r>
      <w:r>
        <w:t xml:space="preserve"> </w:t>
      </w:r>
      <w:r>
        <w:t xml:space="preserve">preregistration time: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ibm_kingston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Heron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ibm_fez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Heron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ibm_marrakesh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Heron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</w:tr>
    </w:tbl>
    <w:p>
      <w:pPr>
        <w:pStyle w:val="BodyText"/>
      </w:pPr>
      <w:r>
        <w:t xml:space="preserve">If any target device is unavailable at execution time, the harness records the substitution</w:t>
      </w:r>
      <w:r>
        <w:t xml:space="preserve"> </w:t>
      </w:r>
      <w:r>
        <w:t xml:space="preserve">explicitly in the ProofRecord (</w:t>
      </w:r>
      <w:r>
        <w:rPr>
          <w:rStyle w:val="VerbatimChar"/>
        </w:rPr>
        <w:t xml:space="preserve">device_substitutions</w:t>
      </w:r>
      <w:r>
        <w:t xml:space="preserve">) and the substitution is disclosed in the</w:t>
      </w:r>
      <w:r>
        <w:t xml:space="preserve"> </w:t>
      </w:r>
      <w:r>
        <w:t xml:space="preserve">report. Fewer than three</w:t>
      </w:r>
      <w:r>
        <w:t xml:space="preserve"> </w:t>
      </w:r>
      <w:r>
        <w:rPr>
          <w:bCs/>
          <w:b/>
        </w:rPr>
        <w:t xml:space="preserve">distinct</w:t>
      </w:r>
      <w:r>
        <w:t xml:space="preserve"> </w:t>
      </w:r>
      <w:r>
        <w:t xml:space="preserve">devices returning valid data forces a</w:t>
      </w:r>
      <w:r>
        <w:t xml:space="preserve"> </w:t>
      </w:r>
      <w:r>
        <w:rPr>
          <w:bCs/>
          <w:b/>
        </w:rPr>
        <w:t xml:space="preserve">GATE-STOP</w:t>
      </w:r>
      <w:r>
        <w:t xml:space="preserve"> </w:t>
      </w:r>
      <w:r>
        <w:t xml:space="preserve">(see</w:t>
      </w:r>
      <w:r>
        <w:t xml:space="preserve"> </w:t>
      </w:r>
      <w:r>
        <w:t xml:space="preserve">§7): TRINITY-1 is defined by three independent processors, and cannot be satisfied by one</w:t>
      </w:r>
      <w:r>
        <w:t xml:space="preserve"> </w:t>
      </w:r>
      <w:r>
        <w:t xml:space="preserve">device run three times.</w:t>
      </w:r>
    </w:p>
    <w:bookmarkEnd w:id="23"/>
    <w:bookmarkStart w:id="24" w:name="the-witness-identical-on-every-device"/>
    <w:p>
      <w:pPr>
        <w:pStyle w:val="Heading2"/>
      </w:pPr>
      <w:r>
        <w:t xml:space="preserve">4. The witness (identical on every device)</w:t>
      </w:r>
    </w:p>
    <w:p>
      <w:pPr>
        <w:pStyle w:val="FirstParagraph"/>
      </w:pPr>
      <w:r>
        <w:rPr>
          <w:bCs/>
          <w:b/>
        </w:rPr>
        <w:t xml:space="preserve">Bell–CHSH</w:t>
      </w:r>
      <w:r>
        <w:t xml:space="preserve">, the most widely understood nonclassicality witness, chosen so the independent</w:t>
      </w:r>
      <w:r>
        <w:t xml:space="preserve"> </w:t>
      </w:r>
      <w:r>
        <w:t xml:space="preserve">verifier can reconstruct every number from raw counts with no quantum library.</w:t>
      </w:r>
    </w:p>
    <w:p>
      <w:pPr>
        <w:numPr>
          <w:ilvl w:val="0"/>
          <w:numId w:val="1003"/>
        </w:numPr>
        <w:pStyle w:val="Compact"/>
      </w:pPr>
      <w:r>
        <w:t xml:space="preserve">State: Bell pair |Φ⁺⟩ = (|00⟩ + |11⟩)/√2.</w:t>
      </w:r>
    </w:p>
    <w:p>
      <w:pPr>
        <w:numPr>
          <w:ilvl w:val="0"/>
          <w:numId w:val="1003"/>
        </w:numPr>
        <w:pStyle w:val="Compact"/>
      </w:pPr>
      <w:r>
        <w:t xml:space="preserve">Measurement settings: Alice ∈ {0, π/4}; Bob ∈ {π/8, 3π/8}.</w:t>
      </w:r>
    </w:p>
    <w:p>
      <w:pPr>
        <w:numPr>
          <w:ilvl w:val="0"/>
          <w:numId w:val="1003"/>
        </w:numPr>
        <w:pStyle w:val="Compact"/>
      </w:pPr>
      <w:r>
        <w:t xml:space="preserve">Four circuits per device:</w:t>
      </w:r>
      <w:r>
        <w:t xml:space="preserve"> </w:t>
      </w:r>
      <w:r>
        <w:rPr>
          <w:rStyle w:val="VerbatimChar"/>
        </w:rPr>
        <w:t xml:space="preserve">a0b0</w:t>
      </w:r>
      <w:r>
        <w:t xml:space="preserve">,</w:t>
      </w:r>
      <w:r>
        <w:t xml:space="preserve"> </w:t>
      </w:r>
      <w:r>
        <w:rPr>
          <w:rStyle w:val="VerbatimChar"/>
        </w:rPr>
        <w:t xml:space="preserve">a0b1</w:t>
      </w:r>
      <w:r>
        <w:t xml:space="preserve">,</w:t>
      </w:r>
      <w:r>
        <w:t xml:space="preserve"> </w:t>
      </w:r>
      <w:r>
        <w:rPr>
          <w:rStyle w:val="VerbatimChar"/>
        </w:rPr>
        <w:t xml:space="preserve">a1b0</w:t>
      </w:r>
      <w:r>
        <w:t xml:space="preserve">,</w:t>
      </w:r>
      <w:r>
        <w:t xml:space="preserve"> </w:t>
      </w:r>
      <w:r>
        <w:rPr>
          <w:rStyle w:val="VerbatimChar"/>
        </w:rPr>
        <w:t xml:space="preserve">a1b1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Correlator E(a,b) = ⟨Z_a Z_b⟩ (parity expectation over 2 measured bits).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CHSH statistic:</w:t>
      </w:r>
      <w:r>
        <w:t xml:space="preserve"> </w:t>
      </w:r>
      <w:r>
        <w:t xml:space="preserve">S = E(a0,b0) − E(a0,b1) + E(a1,b0) + E(a1,b1).</w:t>
      </w:r>
    </w:p>
    <w:p>
      <w:pPr>
        <w:numPr>
          <w:ilvl w:val="0"/>
          <w:numId w:val="1003"/>
        </w:numPr>
        <w:pStyle w:val="Compact"/>
      </w:pPr>
      <w:r>
        <w:t xml:space="preserve">Bounds: classical (local-realist)</w:t>
      </w:r>
      <w:r>
        <w:t xml:space="preserve"> </w:t>
      </w:r>
      <w:r>
        <w:rPr>
          <w:bCs/>
          <w:b/>
        </w:rPr>
        <w:t xml:space="preserve">|S| ≤ 2</w:t>
      </w:r>
      <w:r>
        <w:t xml:space="preserve">; Tsirelson</w:t>
      </w:r>
      <w:r>
        <w:t xml:space="preserve"> </w:t>
      </w:r>
      <w:r>
        <w:rPr>
          <w:bCs/>
          <w:b/>
        </w:rPr>
        <w:t xml:space="preserve">2√2 ≈ 2.828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Certification threshold (preregistered): S ≥ 2.2</w:t>
      </w:r>
      <w:r>
        <w:t xml:space="preserve"> </w:t>
      </w:r>
      <w:r>
        <w:t xml:space="preserve">per device.</w:t>
      </w:r>
    </w:p>
    <w:p>
      <w:pPr>
        <w:numPr>
          <w:ilvl w:val="0"/>
          <w:numId w:val="1003"/>
        </w:numPr>
        <w:pStyle w:val="Compact"/>
      </w:pPr>
      <w:r>
        <w:t xml:space="preserve">Shot-noise σ = √(4 / shots_per_setting); nσ = (S − 2) / σ.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Shots:</w:t>
      </w:r>
      <w:r>
        <w:t xml:space="preserve"> </w:t>
      </w:r>
      <w:r>
        <w:t xml:space="preserve">uniform</w:t>
      </w:r>
      <w:r>
        <w:t xml:space="preserve"> </w:t>
      </w:r>
      <w:r>
        <w:rPr>
          <w:bCs/>
          <w:b/>
        </w:rPr>
        <w:t xml:space="preserve">4,000 shots/circuit × 4 circuits × 3 devices = 48,000 shots total.</w:t>
      </w:r>
      <w:r>
        <w:t xml:space="preserve"> </w:t>
      </w:r>
      <w:r>
        <w:t xml:space="preserve">This figure is defined here and enforced by the locked harness (</w:t>
      </w:r>
      <w:r>
        <w:rPr>
          <w:rStyle w:val="VerbatimChar"/>
        </w:rPr>
        <w:t xml:space="preserve">trinity_harness.py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--shots</w:t>
      </w:r>
      <w:r>
        <w:t xml:space="preserve"> </w:t>
      </w:r>
      <w:r>
        <w:t xml:space="preserve">default 4000). Prose and code state the same number; there is no separate prose</w:t>
      </w:r>
      <w:r>
        <w:t xml:space="preserve"> </w:t>
      </w:r>
      <w:r>
        <w:t xml:space="preserve">target. (This is the explicit lesson carried from the OMNI-1 v1.1 erratum: the executed shot</w:t>
      </w:r>
      <w:r>
        <w:t xml:space="preserve"> </w:t>
      </w:r>
      <w:r>
        <w:t xml:space="preserve">count is governed by the locked harness and the prose must not diverge from it.)</w:t>
      </w:r>
    </w:p>
    <w:bookmarkEnd w:id="24"/>
    <w:bookmarkStart w:id="25" w:name="Xe4aebeabda044ee04cd0fc8335406f02bfabdd9"/>
    <w:p>
      <w:pPr>
        <w:pStyle w:val="Heading2"/>
      </w:pPr>
      <w:r>
        <w:t xml:space="preserve">5. ProofRecord schema —</w:t>
      </w:r>
      <w:r>
        <w:t xml:space="preserve"> </w:t>
      </w:r>
      <w:r>
        <w:rPr>
          <w:rStyle w:val="VerbatimChar"/>
        </w:rPr>
        <w:t xml:space="preserve">trinity-proofrecord-1.0</w:t>
      </w:r>
    </w:p>
    <w:p>
      <w:pPr>
        <w:pStyle w:val="FirstParagraph"/>
      </w:pPr>
      <w:r>
        <w:t xml:space="preserve">The record binds, for</w:t>
      </w:r>
      <w:r>
        <w:t xml:space="preserve"> </w:t>
      </w:r>
      <w:r>
        <w:rPr>
          <w:bCs/>
          <w:b/>
        </w:rPr>
        <w:t xml:space="preserve">each</w:t>
      </w:r>
      <w:r>
        <w:t xml:space="preserve"> </w:t>
      </w:r>
      <w:r>
        <w:t xml:space="preserve">device: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backend</w:t>
      </w:r>
      <w:r>
        <w:t xml:space="preserve"> </w:t>
      </w:r>
      <w:r>
        <w:t xml:space="preserve">(resolved device name),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calibration_hash</w:t>
      </w:r>
      <w:r>
        <w:t xml:space="preserve"> </w:t>
      </w:r>
      <w:r>
        <w:t xml:space="preserve">(SHA-256 of the backend’s</w:t>
      </w:r>
      <w:r>
        <w:t xml:space="preserve"> </w:t>
      </w:r>
      <w:r>
        <w:t xml:space="preserve">last calibration timestamp),</w:t>
      </w:r>
      <w:r>
        <w:t xml:space="preserve"> </w:t>
      </w:r>
      <w:r>
        <w:rPr>
          <w:rStyle w:val="VerbatimChar"/>
        </w:rPr>
        <w:t xml:space="preserve">qubit_mapping</w:t>
      </w:r>
      <w:r>
        <w:t xml:space="preserve"> </w:t>
      </w:r>
      <w:r>
        <w:t xml:space="preserve">(physical qubits used after transpilation),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raw_counts</w:t>
      </w:r>
      <w:r>
        <w:t xml:space="preserve"> </w:t>
      </w:r>
      <w:r>
        <w:t xml:space="preserve">for all four CHSH circuits,</w:t>
      </w:r>
    </w:p>
    <w:p>
      <w:pPr>
        <w:numPr>
          <w:ilvl w:val="0"/>
          <w:numId w:val="1004"/>
        </w:numPr>
        <w:pStyle w:val="Compact"/>
      </w:pPr>
      <w:r>
        <w:t xml:space="preserve">reconstructed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n_sigma</w:t>
      </w:r>
      <w:r>
        <w:t xml:space="preserve">, per-device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∈ {VALID_ABOVE, INCONCLUSIVE, INVALID},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device_witness_hash</w:t>
      </w:r>
      <w:r>
        <w:t xml:space="preserve"> </w:t>
      </w:r>
      <w:r>
        <w:t xml:space="preserve">= SHA-256 over that device’s canonicalized witness object.</w:t>
      </w:r>
    </w:p>
    <w:p>
      <w:pPr>
        <w:pStyle w:val="FirstParagraph"/>
      </w:pPr>
      <w:r>
        <w:t xml:space="preserve">And, once across the whole record: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external_entropy</w:t>
      </w:r>
      <w:r>
        <w:t xml:space="preserve">: fresh</w:t>
      </w:r>
      <w:r>
        <w:t xml:space="preserve"> </w:t>
      </w:r>
      <w:r>
        <w:rPr>
          <w:bCs/>
          <w:b/>
        </w:rPr>
        <w:t xml:space="preserve">NIST randomness beacon</w:t>
      </w:r>
      <w:r>
        <w:t xml:space="preserve"> </w:t>
      </w:r>
      <w:r>
        <w:t xml:space="preserve">pulse (not-before anchor) + fixed</w:t>
      </w:r>
      <w:r>
        <w:t xml:space="preserve"> </w:t>
      </w:r>
      <w:r>
        <w:rPr>
          <w:bCs/>
          <w:b/>
        </w:rPr>
        <w:t xml:space="preserve">LIGO GW150914</w:t>
      </w:r>
      <w:r>
        <w:t xml:space="preserve"> </w:t>
      </w:r>
      <w:r>
        <w:t xml:space="preserve">cosmological hash anchor (</w:t>
      </w:r>
      <w:r>
        <w:rPr>
          <w:rStyle w:val="VerbatimChar"/>
        </w:rPr>
        <w:t xml:space="preserve">66c4b196</w:t>
      </w:r>
      <w:r>
        <w:t xml:space="preserve">, carried from WITNESS-3).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chain.previous_record_hash</w:t>
      </w:r>
      <w:r>
        <w:t xml:space="preserve">: hash link to the prior RF record (OMNI-1) — continuity.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manifest_prereg_sha256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manifest_harness_sha256</w:t>
      </w:r>
      <w:r>
        <w:t xml:space="preserve">: the preregistration lock hashes.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trinity_nonce</w:t>
      </w:r>
      <w:r>
        <w:t xml:space="preserve"> </w:t>
      </w:r>
      <w:r>
        <w:t xml:space="preserve">= SHA-256 over the ordered join of the three</w:t>
      </w:r>
      <w:r>
        <w:t xml:space="preserve"> </w:t>
      </w:r>
      <w:r>
        <w:rPr>
          <w:rStyle w:val="VerbatimChar"/>
        </w:rPr>
        <w:t xml:space="preserve">device_witness_hash</w:t>
      </w:r>
      <w:r>
        <w:t xml:space="preserve"> </w:t>
      </w:r>
      <w:r>
        <w:t xml:space="preserve">values + NIST value + LIGO anchor + previous record hash. Changing any device’s counts, any</w:t>
      </w:r>
      <w:r>
        <w:t xml:space="preserve"> </w:t>
      </w:r>
      <w:r>
        <w:t xml:space="preserve">device’s identity, the beacon, or the chain link changes the nonce.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record_hash</w:t>
      </w:r>
      <w:r>
        <w:t xml:space="preserve"> </w:t>
      </w:r>
      <w:r>
        <w:t xml:space="preserve">= SHA-256 over the canonical JSON of the whole record (excluding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).</w:t>
      </w:r>
    </w:p>
    <w:bookmarkEnd w:id="25"/>
    <w:bookmarkStart w:id="26" w:name="X74a595723644e7187b27af98043e9e426d1406c"/>
    <w:p>
      <w:pPr>
        <w:pStyle w:val="Heading2"/>
      </w:pPr>
      <w:r>
        <w:t xml:space="preserve">6. Aggregate ExecutionProof verdict logic (preregistered, frozen)</w:t>
      </w:r>
    </w:p>
    <w:p>
      <w:pPr>
        <w:pStyle w:val="FirstParagraph"/>
      </w:pPr>
      <w:r>
        <w:t xml:space="preserve">Per-device verdict: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VALID_ABOVE</w:t>
      </w:r>
      <w:r>
        <w:t xml:space="preserve"> </w:t>
      </w:r>
      <w:r>
        <w:t xml:space="preserve">if S ≥ 2.2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INCONCLUSIVE</w:t>
      </w:r>
      <w:r>
        <w:t xml:space="preserve"> </w:t>
      </w:r>
      <w:r>
        <w:t xml:space="preserve">if 2.0 ≤ S &lt; 2.2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INVALID</w:t>
      </w:r>
      <w:r>
        <w:t xml:space="preserve"> </w:t>
      </w:r>
      <w:r>
        <w:t xml:space="preserve">if S &lt; 2.0 (at or below the classical bound)</w:t>
      </w:r>
    </w:p>
    <w:p>
      <w:pPr>
        <w:pStyle w:val="FirstParagraph"/>
      </w:pPr>
      <w:r>
        <w:t xml:space="preserve">Aggregate verdict (precedence</w:t>
      </w:r>
      <w:r>
        <w:t xml:space="preserve"> </w:t>
      </w:r>
      <w:r>
        <w:rPr>
          <w:bCs/>
          <w:b/>
        </w:rPr>
        <w:t xml:space="preserve">DENY &gt; GATE-STOP &gt; HOLD &gt; ALLOW</w:t>
      </w:r>
      <w:r>
        <w:t xml:space="preserve">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DENY</w:t>
      </w:r>
      <w:r>
        <w:t xml:space="preserve"> </w:t>
      </w:r>
      <w:r>
        <w:t xml:space="preserve">— provenance invalid, independent reconstruction mismatch, tampering detected, or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device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. (A device that fails to beat the classical bound is an honest</w:t>
      </w:r>
      <w:r>
        <w:t xml:space="preserve"> </w:t>
      </w:r>
      <w:r>
        <w:t xml:space="preserve">negative and must block authorization — it is never averaged away.)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GATE-STOP</w:t>
      </w:r>
      <w:r>
        <w:t xml:space="preserve"> </w:t>
      </w:r>
      <w:r>
        <w:t xml:space="preserve">— fewer than three</w:t>
      </w:r>
      <w:r>
        <w:t xml:space="preserve"> </w:t>
      </w:r>
      <w:r>
        <w:rPr>
          <w:bCs/>
          <w:b/>
        </w:rPr>
        <w:t xml:space="preserve">distinct</w:t>
      </w:r>
      <w:r>
        <w:t xml:space="preserve"> </w:t>
      </w:r>
      <w:r>
        <w:t xml:space="preserve">devices returned valid data, NIST beacon</w:t>
      </w:r>
      <w:r>
        <w:t xml:space="preserve"> </w:t>
      </w:r>
      <w:r>
        <w:t xml:space="preserve">unavailable, or hardware/data conditions otherwise prevent valid evaluation.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HOLD</w:t>
      </w:r>
      <w:r>
        <w:t xml:space="preserve"> </w:t>
      </w:r>
      <w:r>
        <w:t xml:space="preserve">— all provenance valid and ≥3 devices reporting, but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device</w:t>
      </w:r>
      <w:r>
        <w:t xml:space="preserve"> </w:t>
      </w:r>
      <w:r>
        <w:rPr>
          <w:rStyle w:val="VerbatimChar"/>
        </w:rPr>
        <w:t xml:space="preserve">INCONCLUSIVE</w:t>
      </w:r>
      <w:r>
        <w:t xml:space="preserve"> </w:t>
      </w:r>
      <w:r>
        <w:t xml:space="preserve">(2.0–2.2). The governance layer refuses to certify on a split result.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ALLOW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all three</w:t>
      </w:r>
      <w:r>
        <w:t xml:space="preserve"> </w:t>
      </w:r>
      <w:r>
        <w:t xml:space="preserve">devices</w:t>
      </w:r>
      <w:r>
        <w:t xml:space="preserve"> </w:t>
      </w:r>
      <w:r>
        <w:rPr>
          <w:rStyle w:val="VerbatimChar"/>
        </w:rPr>
        <w:t xml:space="preserve">VALID_ABOVE</w:t>
      </w:r>
      <w:r>
        <w:t xml:space="preserve">, independent reconstruction agrees on every</w:t>
      </w:r>
      <w:r>
        <w:t xml:space="preserve"> </w:t>
      </w:r>
      <w:r>
        <w:t xml:space="preserve">device, and provenance (NIST + chain + manifest) is valid.</w:t>
      </w:r>
    </w:p>
    <w:p>
      <w:pPr>
        <w:pStyle w:val="FirstParagraph"/>
      </w:pPr>
      <w:r>
        <w:rPr>
          <w:rStyle w:val="VerbatimChar"/>
        </w:rPr>
        <w:t xml:space="preserve">trinity_certified = (aggregate_verdict == "ALLOW")</w:t>
      </w:r>
      <w:r>
        <w:t xml:space="preserve">.</w:t>
      </w:r>
    </w:p>
    <w:p>
      <w:pPr>
        <w:pStyle w:val="BodyText"/>
      </w:pPr>
      <w:r>
        <w:t xml:space="preserve">This logic is chosen specifically so that the</w:t>
      </w:r>
      <w:r>
        <w:t xml:space="preserve"> </w:t>
      </w:r>
      <w:r>
        <w:rPr>
          <w:bCs/>
          <w:b/>
        </w:rPr>
        <w:t xml:space="preserve">failure mode in §2.2 is honest</w:t>
      </w:r>
      <w:r>
        <w:t xml:space="preserve">: three</w:t>
      </w:r>
      <w:r>
        <w:t xml:space="preserve"> </w:t>
      </w:r>
      <w:r>
        <w:t xml:space="preserve">independent devices must</w:t>
      </w:r>
      <w:r>
        <w:t xml:space="preserve"> </w:t>
      </w:r>
      <w:r>
        <w:rPr>
          <w:iCs/>
          <w:i/>
        </w:rPr>
        <w:t xml:space="preserve">each</w:t>
      </w:r>
      <w:r>
        <w:t xml:space="preserve"> </w:t>
      </w:r>
      <w:r>
        <w:t xml:space="preserve">clear the bar. Strength on two devices cannot mask weakness on</w:t>
      </w:r>
      <w:r>
        <w:t xml:space="preserve"> </w:t>
      </w:r>
      <w:r>
        <w:t xml:space="preserve">the third.</w:t>
      </w:r>
    </w:p>
    <w:bookmarkEnd w:id="26"/>
    <w:bookmarkStart w:id="27" w:name="kill-condition"/>
    <w:p>
      <w:pPr>
        <w:pStyle w:val="Heading2"/>
      </w:pPr>
      <w:r>
        <w:t xml:space="preserve">7. Kill condition</w:t>
      </w:r>
    </w:p>
    <w:p>
      <w:pPr>
        <w:pStyle w:val="FirstParagraph"/>
      </w:pPr>
      <w:r>
        <w:t xml:space="preserve">If the independent verifier (</w:t>
      </w:r>
      <w:r>
        <w:rPr>
          <w:rStyle w:val="VerbatimChar"/>
        </w:rPr>
        <w:t xml:space="preserve">trinity_verify.py</w:t>
      </w:r>
      <w:r>
        <w:t xml:space="preserve">) recomputes any device’s S from that device’s</w:t>
      </w:r>
      <w:r>
        <w:t xml:space="preserve"> </w:t>
      </w:r>
      <w:r>
        <w:t xml:space="preserve">raw counts and disagrees with the recorded S beyond floating tolerance, OR the recomputed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trinity_nonce</w:t>
      </w:r>
      <w:r>
        <w:t xml:space="preserve"> </w:t>
      </w:r>
      <w:r>
        <w:t xml:space="preserve">does not match, the record is published as</w:t>
      </w:r>
      <w:r>
        <w:t xml:space="preserve"> </w:t>
      </w:r>
      <w:r>
        <w:rPr>
          <w:bCs/>
          <w:b/>
        </w:rPr>
        <w:t xml:space="preserve">DENY (kill</w:t>
      </w:r>
      <w:r>
        <w:rPr>
          <w:bCs/>
          <w:b/>
        </w:rPr>
        <w:t xml:space="preserve"> </w:t>
      </w:r>
      <w:r>
        <w:rPr>
          <w:bCs/>
          <w:b/>
        </w:rPr>
        <w:t xml:space="preserve">condition triggered)</w:t>
      </w:r>
      <w:r>
        <w:t xml:space="preserve"> </w:t>
      </w:r>
      <w:r>
        <w:t xml:space="preserve">with the discrepancy documented. No measured value is ever edited to</w:t>
      </w:r>
      <w:r>
        <w:t xml:space="preserve"> </w:t>
      </w:r>
      <w:r>
        <w:t xml:space="preserve">force agreement.</w:t>
      </w:r>
    </w:p>
    <w:bookmarkEnd w:id="27"/>
    <w:bookmarkStart w:id="28" w:name="X88fe96f95400b50bda31852235e46d9d1c3ea7e"/>
    <w:p>
      <w:pPr>
        <w:pStyle w:val="Heading2"/>
      </w:pPr>
      <w:r>
        <w:t xml:space="preserve">8. Hardware gate (security + review) — WITHHELD until authorized</w:t>
      </w:r>
    </w:p>
    <w:p>
      <w:pPr>
        <w:pStyle w:val="FirstParagraph"/>
      </w:pPr>
      <w:r>
        <w:t xml:space="preserve">Consistent with the OMNI-1 discipline, the hardware run is</w:t>
      </w:r>
      <w:r>
        <w:t xml:space="preserve"> </w:t>
      </w:r>
      <w:r>
        <w:rPr>
          <w:bCs/>
          <w:b/>
        </w:rPr>
        <w:t xml:space="preserve">withheld</w:t>
      </w:r>
      <w:r>
        <w:t xml:space="preserve"> </w:t>
      </w:r>
      <w:r>
        <w:t xml:space="preserve">until BOTH: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(a)</w:t>
      </w:r>
      <w:r>
        <w:t xml:space="preserve"> </w:t>
      </w:r>
      <w:r>
        <w:t xml:space="preserve">The exposed IBM Quantum token has been</w:t>
      </w:r>
      <w:r>
        <w:t xml:space="preserve"> </w:t>
      </w:r>
      <w:r>
        <w:rPr>
          <w:bCs/>
          <w:b/>
        </w:rPr>
        <w:t xml:space="preserve">rotated</w:t>
      </w:r>
      <w:r>
        <w:t xml:space="preserve"> </w:t>
      </w:r>
      <w:r>
        <w:t xml:space="preserve">(any token that has appeared in a</w:t>
      </w:r>
      <w:r>
        <w:t xml:space="preserve"> </w:t>
      </w:r>
      <w:r>
        <w:t xml:space="preserve">chat transcript or screenshot is considered compromised and must be revoked/rotated), and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(b)</w:t>
      </w:r>
      <w:r>
        <w:t xml:space="preserve"> </w:t>
      </w:r>
      <w:r>
        <w:t xml:space="preserve">Derek explicitly authorizes the hardware run.</w:t>
      </w:r>
    </w:p>
    <w:p>
      <w:pPr>
        <w:pStyle w:val="FirstParagraph"/>
      </w:pPr>
      <w:r>
        <w:t xml:space="preserve">Default harness mode is</w:t>
      </w:r>
      <w:r>
        <w:t xml:space="preserve"> </w:t>
      </w:r>
      <w:r>
        <w:rPr>
          <w:bCs/>
          <w:b/>
        </w:rPr>
        <w:t xml:space="preserve">simulator validation</w:t>
      </w:r>
      <w:r>
        <w:t xml:space="preserve">. The hardware path refuses to run unless</w:t>
      </w:r>
      <w:r>
        <w:t xml:space="preserve"> </w:t>
      </w:r>
      <w:r>
        <w:rPr>
          <w:rStyle w:val="VerbatimChar"/>
        </w:rPr>
        <w:t xml:space="preserve">--authorize-hardware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--allow-unrotated</w:t>
      </w:r>
      <w:r>
        <w:t xml:space="preserve"> </w:t>
      </w:r>
      <w:r>
        <w:t xml:space="preserve">are both passed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gate conditions</w:t>
      </w:r>
      <w:r>
        <w:t xml:space="preserve"> </w:t>
      </w:r>
      <w:r>
        <w:t xml:space="preserve">are met, and a valid token is supplied via the</w:t>
      </w:r>
      <w:r>
        <w:t xml:space="preserve"> </w:t>
      </w:r>
      <w:r>
        <w:rPr>
          <w:rStyle w:val="VerbatimChar"/>
        </w:rPr>
        <w:t xml:space="preserve">IBM_QUANTUM_TOKEN</w:t>
      </w:r>
      <w:r>
        <w:t xml:space="preserve"> </w:t>
      </w:r>
      <w:r>
        <w:t xml:space="preserve">environment variable (never</w:t>
      </w:r>
      <w:r>
        <w:t xml:space="preserve"> </w:t>
      </w:r>
      <w:r>
        <w:t xml:space="preserve">hard-coded, never committed).</w:t>
      </w:r>
    </w:p>
    <w:bookmarkEnd w:id="28"/>
    <w:bookmarkStart w:id="29" w:name="X6f082ccfb656861e1e9e1e5f43df6159c41b1d7"/>
    <w:p>
      <w:pPr>
        <w:pStyle w:val="Heading2"/>
      </w:pPr>
      <w:r>
        <w:t xml:space="preserve">9. Simulator validation plan (runs now, no token)</w:t>
      </w:r>
    </w:p>
    <w:p>
      <w:pPr>
        <w:pStyle w:val="FirstParagraph"/>
      </w:pPr>
      <w:r>
        <w:t xml:space="preserve">Before any hardware run, the design is validated on</w:t>
      </w:r>
      <w:r>
        <w:t xml:space="preserve"> </w:t>
      </w:r>
      <w:r>
        <w:rPr>
          <w:rStyle w:val="VerbatimChar"/>
        </w:rPr>
        <w:t xml:space="preserve">qiskit-aer</w:t>
      </w:r>
      <w:r>
        <w:t xml:space="preserve"> </w:t>
      </w:r>
      <w:r>
        <w:t xml:space="preserve">by simulating</w:t>
      </w:r>
      <w:r>
        <w:t xml:space="preserve"> </w:t>
      </w:r>
      <w:r>
        <w:rPr>
          <w:bCs/>
          <w:b/>
        </w:rPr>
        <w:t xml:space="preserve">three</w:t>
      </w:r>
      <w:r>
        <w:rPr>
          <w:bCs/>
          <w:b/>
        </w:rPr>
        <w:t xml:space="preserve"> </w:t>
      </w:r>
      <w:r>
        <w:rPr>
          <w:bCs/>
          <w:b/>
        </w:rPr>
        <w:t xml:space="preserve">independent devices</w:t>
      </w:r>
      <w:r>
        <w:t xml:space="preserve"> </w:t>
      </w:r>
      <w:r>
        <w:t xml:space="preserve">as three separate noisy backends (distinct depolarizing seeds/levels) so</w:t>
      </w:r>
      <w:r>
        <w:t xml:space="preserve"> </w:t>
      </w:r>
      <w:r>
        <w:t xml:space="preserve">that per-device variation, the fusion, the verifier, and every verdict branch (ALLOW / HOLD /</w:t>
      </w:r>
      <w:r>
        <w:t xml:space="preserve"> </w:t>
      </w:r>
      <w:r>
        <w:t xml:space="preserve">DENY / GATE-STOP) are exercised. Simulator runs are labeled</w:t>
      </w:r>
      <w:r>
        <w:t xml:space="preserve"> </w:t>
      </w:r>
      <w:r>
        <w:rPr>
          <w:rStyle w:val="VerbatimChar"/>
        </w:rPr>
        <w:t xml:space="preserve">mode = "SIMULATOR"</w:t>
      </w:r>
      <w:r>
        <w:t xml:space="preserve"> </w:t>
      </w:r>
      <w:r>
        <w:t xml:space="preserve">and are</w:t>
      </w:r>
      <w:r>
        <w:t xml:space="preserve"> </w:t>
      </w:r>
      <w:r>
        <w:rPr>
          <w:bCs/>
          <w:b/>
        </w:rPr>
        <w:t xml:space="preserve">proof of design only</w:t>
      </w:r>
      <w:r>
        <w:t xml:space="preserve"> </w:t>
      </w:r>
      <w:r>
        <w:t xml:space="preserve">— they are explicitly not the hardware evidence TRINITY-1 is designed</w:t>
      </w:r>
      <w:r>
        <w:t xml:space="preserve"> </w:t>
      </w:r>
      <w:r>
        <w:t xml:space="preserve">to produce.</w:t>
      </w:r>
    </w:p>
    <w:bookmarkEnd w:id="29"/>
    <w:bookmarkStart w:id="30" w:name="X3b00d573725b8b34ddb8684d7400fb7d39f33cc"/>
    <w:p>
      <w:pPr>
        <w:pStyle w:val="Heading2"/>
      </w:pPr>
      <w:r>
        <w:t xml:space="preserve">10. Scope &amp; honesty caveats (apply to every result)</w:t>
      </w:r>
    </w:p>
    <w:p>
      <w:pPr>
        <w:pStyle w:val="FirstParagraph"/>
      </w:pPr>
      <w:r>
        <w:t xml:space="preserve">Results apply only within the tested circuit model, the specific backends, the physical qubits</w:t>
      </w:r>
      <w:r>
        <w:t xml:space="preserve"> </w:t>
      </w:r>
      <w:r>
        <w:t xml:space="preserve">selected by transpilation, the calibration at run time, the stated shot counts, the software</w:t>
      </w:r>
      <w:r>
        <w:t xml:space="preserve"> </w:t>
      </w:r>
      <w:r>
        <w:t xml:space="preserve">harness, and the stated conditions.</w:t>
      </w:r>
      <w:r>
        <w:t xml:space="preserve"> </w:t>
      </w:r>
      <w:r>
        <w:rPr>
          <w:bCs/>
          <w:b/>
        </w:rPr>
        <w:t xml:space="preserve">Device-dependent.</w:t>
      </w:r>
      <w:r>
        <w:t xml:space="preserve"> </w:t>
      </w:r>
      <w:r>
        <w:t xml:space="preserve">Bell locality and detection loopholes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open</w:t>
      </w:r>
      <w:r>
        <w:t xml:space="preserve">. Cross-device agreement demonstrates</w:t>
      </w:r>
      <w:r>
        <w:t xml:space="preserve"> </w:t>
      </w:r>
      <w:r>
        <w:rPr>
          <w:bCs/>
          <w:b/>
        </w:rPr>
        <w:t xml:space="preserve">reproducibility and multi-root provenance,</w:t>
      </w:r>
      <w:r>
        <w:rPr>
          <w:bCs/>
          <w:b/>
        </w:rP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device independence or loophole closure. Statistical σ reflects binomial shot noise only</w:t>
      </w:r>
      <w:r>
        <w:t xml:space="preserve"> </w:t>
      </w:r>
      <w:r>
        <w:t xml:space="preserve">and is not a systematic-error budget. This is an experimental evidence record and a governance</w:t>
      </w:r>
      <w:r>
        <w:t xml:space="preserve"> </w:t>
      </w:r>
      <w:r>
        <w:t xml:space="preserve">demonstration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universal security proof, not a randomness-certification proof, and</w:t>
      </w:r>
      <w:r>
        <w:t xml:space="preserve"> </w:t>
      </w:r>
      <w:r>
        <w:t xml:space="preserve">not a production certification.</w:t>
      </w:r>
    </w:p>
    <w:bookmarkEnd w:id="30"/>
    <w:bookmarkStart w:id="31" w:name="publication-rule"/>
    <w:p>
      <w:pPr>
        <w:pStyle w:val="Heading2"/>
      </w:pPr>
      <w:r>
        <w:t xml:space="preserve">11. Publication rule</w:t>
      </w:r>
    </w:p>
    <w:p>
      <w:pPr>
        <w:pStyle w:val="FirstParagraph"/>
      </w:pPr>
      <w:r>
        <w:t xml:space="preserve">The record is published</w:t>
      </w:r>
      <w:r>
        <w:t xml:space="preserve"> </w:t>
      </w:r>
      <w:r>
        <w:rPr>
          <w:bCs/>
          <w:b/>
        </w:rPr>
        <w:t xml:space="preserve">whatever the verdict</w:t>
      </w:r>
      <w:r>
        <w:t xml:space="preserve"> </w:t>
      </w:r>
      <w:r>
        <w:t xml:space="preserve">— ALLOW, HOLD, DENY, or GATE-STOP. An honest</w:t>
      </w:r>
      <w:r>
        <w:t xml:space="preserve"> </w:t>
      </w:r>
      <w:r>
        <w:t xml:space="preserve">GATE-STOP or a dissenting-device DENY is a valid, publishable outcome and is preferred over any</w:t>
      </w:r>
      <w:r>
        <w:t xml:space="preserve"> </w:t>
      </w:r>
      <w:r>
        <w:t xml:space="preserve">adjustment that would manufacture an ALLOW.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Proof Before Power · Verification Before Execution · claims kept narrower than the evidence.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2026-07-19T02:53:44Z</dcterms:created>
  <dcterms:modified xsi:type="dcterms:W3CDTF">2026-07-19T02:53:44Z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