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itness-4-execution-report"/>
    <w:p>
      <w:pPr>
        <w:pStyle w:val="Heading1"/>
      </w:pPr>
      <w:r>
        <w:t xml:space="preserve">WITNESS-4 Execution Report</w:t>
      </w:r>
    </w:p>
    <w:p>
      <w:pPr>
        <w:pStyle w:val="FirstParagraph"/>
      </w:pPr>
      <w:r>
        <w:rPr>
          <w:bCs/>
          <w:b/>
        </w:rPr>
        <w:t xml:space="preserve">The Freshness Bracket: Non-Backdatable, Independently-Reconstructable, Chain-Linked Quantum ProofRecord™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Overall Verdict:</w:t>
      </w:r>
      <w:r>
        <w:t xml:space="preserve"> </w:t>
      </w:r>
      <w:r>
        <w:t xml:space="preserve">ALL PASS</w:t>
      </w:r>
    </w:p>
    <w:p>
      <w:pPr>
        <w:pStyle w:val="BodyText"/>
      </w:pPr>
      <w:r>
        <w:t xml:space="preserve">WITNESS-4</w:t>
      </w:r>
      <w:r>
        <w:t xml:space="preserve"> </w:t>
      </w:r>
      <w:r>
        <w:t xml:space="preserve">“</w:t>
      </w:r>
      <w:r>
        <w:t xml:space="preserve">The Freshness Bracket</w:t>
      </w:r>
      <w:r>
        <w:t xml:space="preserve">”</w:t>
      </w:r>
      <w:r>
        <w:t xml:space="preserve"> </w:t>
      </w:r>
      <w:r>
        <w:t xml:space="preserve">answers two foundational audit questions every ProofRecord must address: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Could this have been backdated or pre-computed?</w:t>
      </w:r>
      <w:r>
        <w:rPr>
          <w:bCs/>
          <w:b/>
        </w:rPr>
        <w:t xml:space="preserve">”</w:t>
      </w:r>
      <w:r>
        <w:t xml:space="preserve"> </w:t>
      </w:r>
      <w:r>
        <w:t xml:space="preserve">— No. The full experimental design was hashed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random anchor was fetched (</w:t>
      </w:r>
      <w:r>
        <w:rPr>
          <w:iCs/>
          <w:i/>
        </w:rPr>
        <w:t xml:space="preserve">design-before-anchor</w:t>
      </w:r>
      <w:r>
        <w:t xml:space="preserve">), and the fused nonce commits to a NIST beacon pulse that did not exist before its published time (</w:t>
      </w:r>
      <w:r>
        <w:rPr>
          <w:iCs/>
          <w:i/>
        </w:rPr>
        <w:t xml:space="preserve">not-before</w:t>
      </w:r>
      <w:r>
        <w:t xml:space="preserve"> </w:t>
      </w:r>
      <w:r>
        <w:t xml:space="preserve">lower bound).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I rebuild it myself from public data?</w:t>
      </w:r>
      <w:r>
        <w:rPr>
          <w:bCs/>
          <w:b/>
        </w:rPr>
        <w:t xml:space="preserve">”</w:t>
      </w:r>
      <w:r>
        <w:t xml:space="preserve"> </w:t>
      </w:r>
      <w:r>
        <w:t xml:space="preserve">— Yes. A dedicated reconstruction module rebuilt the entire record — every hash, the fused nonce, the CHSH statistic, the freshness bracket, and the record_hash — from public artifacts alone, confirmed by the IBM provider.</w:t>
      </w:r>
    </w:p>
    <w:p>
      <w:pPr>
        <w:pStyle w:val="BodyText"/>
      </w:pPr>
      <w:r>
        <w:t xml:space="preserve">WITNESS-4 also establishes an</w:t>
      </w:r>
      <w:r>
        <w:t xml:space="preserve"> </w:t>
      </w:r>
      <w:r>
        <w:rPr>
          <w:bCs/>
          <w:b/>
        </w:rPr>
        <w:t xml:space="preserve">append-only ledger</w:t>
      </w:r>
      <w:r>
        <w:t xml:space="preserve">: it chain-links to WITNESS-3’s published record_hash (Zenodo DOI 10.5281/zenodo.21434832), making WITNESS-1→2→3→</w:t>
      </w:r>
      <w:r>
        <w:rPr>
          <w:bCs/>
          <w:b/>
        </w:rPr>
        <w:t xml:space="preserve">4</w:t>
      </w:r>
      <w:r>
        <w:t xml:space="preserve"> </w:t>
      </w:r>
      <w:r>
        <w:t xml:space="preserve">a single third-party-verifiable ledger. The same QPU run remained a CHSH Bell test, certified under the identical honest standard used in WITNESS-3.</w:t>
      </w:r>
    </w:p>
    <w:p>
      <w:pPr>
        <w:pStyle w:val="BodyText"/>
      </w:pPr>
      <w:r>
        <w:t xml:space="preserve">All five test cases — zero-trust reconstruction, tamper detection (8 trials), backdating/freshness, chain integrity, and Bell certification — returned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verdicts.</w:t>
      </w:r>
    </w:p>
    <w:p>
      <w:r>
        <w:pict>
          <v:rect style="width:0;height:1.5pt" o:hralign="center" o:hrstd="t" o:hr="t"/>
        </w:pict>
      </w:r>
    </w:p>
    <w:bookmarkEnd w:id="20"/>
    <w:bookmarkStart w:id="21" w:name="qpu-execution"/>
    <w:p>
      <w:pPr>
        <w:pStyle w:val="Heading2"/>
      </w:pPr>
      <w:r>
        <w:t xml:space="preserve">QPU Execution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d9e0mjsjeosc73fi6b50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  <w:r>
              <w:t xml:space="preserve"> </w:t>
            </w:r>
            <w:r>
              <w:t xml:space="preserve">(IBM Quantum, us-east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crn:v1:bluemix:public:quantum-computing:us-east:a/074ad0b4119241ee8fd51258f35aa4a6:97957880-e0cc-4c0e-a07e-f9b8f2da3be4::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Timestamp (finalize)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2026-07-18T23:30:09Z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 (4 CHSH settings × 2000 shots/setting)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 2-qubit Outcomes per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ab: 4/4, abp: 4/4, apb: 4/4, apbp: 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 (logical; transpiler maps to physical layout)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reshness-bracket-temporal-ordering"/>
    <w:p>
      <w:pPr>
        <w:pStyle w:val="Heading2"/>
      </w:pPr>
      <w:r>
        <w:t xml:space="preserve">Freshness Bracket (Temporal Ordering)</w:t>
      </w:r>
    </w:p>
    <w:p>
      <w:pPr>
        <w:pStyle w:val="FirstParagraph"/>
      </w:pPr>
      <w:r>
        <w:t xml:space="preserve">The freshness bracket establishes</w:t>
      </w:r>
      <w:r>
        <w:t xml:space="preserve"> </w:t>
      </w:r>
      <w:r>
        <w:rPr>
          <w:bCs/>
          <w:b/>
        </w:rPr>
        <w:t xml:space="preserve">relative ordering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not-before lower time bound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precommit_time_utc  &lt;=  nist_pulse_time  &lt;=  timestamp_utc (finalize)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1732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2026-07-18T23:24:56Z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(circuit + intent + context + prev link) hashed BEFORE any anchor fetched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2026-07-18T23:27:00.000Z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outputValue did not exist before this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2026-07-18T23:30:09Z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finalized (nonce fused, freshness evaluated)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Freshness Verdict:</w:t>
      </w:r>
      <w:r>
        <w:t xml:space="preserve"> </w:t>
      </w:r>
      <w:r>
        <w:rPr>
          <w:rStyle w:val="VerbatimChar"/>
        </w:rPr>
        <w:t xml:space="preserve">fresh =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not_before_bound_ok</w:t>
      </w:r>
      <w:r>
        <w:t xml:space="preserve">: True (record ≥ pulse 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design_before_anchor_ok</w:t>
      </w:r>
      <w:r>
        <w:t xml:space="preserve">: True (precommit ≤ pulse 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chain_monotonic_ok</w:t>
      </w:r>
      <w:r>
        <w:t xml:space="preserve">: True (record ≥ previous ledger entry)</w:t>
      </w:r>
    </w:p>
    <w:p>
      <w:pPr>
        <w:pStyle w:val="BodyText"/>
      </w:pPr>
      <w:r>
        <w:rPr>
          <w:bCs/>
          <w:b/>
        </w:rPr>
        <w:t xml:space="preserve">Honesty bounds (preregistered):</w:t>
      </w:r>
      <w:r>
        <w:t xml:space="preserve"> </w:t>
      </w:r>
      <w:r>
        <w:t xml:space="preserve">This is a</w:t>
      </w:r>
      <w:r>
        <w:t xml:space="preserve"> </w:t>
      </w:r>
      <w:r>
        <w:rPr>
          <w:iCs/>
          <w:i/>
        </w:rPr>
        <w:t xml:space="preserve">relative-ordering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not-before</w:t>
      </w:r>
      <w:r>
        <w:t xml:space="preserve"> </w:t>
      </w:r>
      <w:r>
        <w:t xml:space="preserve">proof only.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trusted timestamping authority or blockchain, asserts</w:t>
      </w:r>
      <w:r>
        <w:t xml:space="preserve"> </w:t>
      </w:r>
      <w:r>
        <w:rPr>
          <w:bCs/>
          <w:b/>
        </w:rPr>
        <w:t xml:space="preserve">no upper time bound</w:t>
      </w:r>
      <w:r>
        <w:t xml:space="preserve">, and the CHSH test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loophole-free / device-independent.</w:t>
      </w:r>
    </w:p>
    <w:p>
      <w:r>
        <w:pict>
          <v:rect style="width:0;height:1.5pt" o:hralign="center" o:hrstd="t" o:hr="t"/>
        </w:pict>
      </w:r>
    </w:p>
    <w:bookmarkEnd w:id="22"/>
    <w:bookmarkStart w:id="23" w:name="append-only-ledger-link"/>
    <w:p>
      <w:pPr>
        <w:pStyle w:val="Heading2"/>
      </w:pPr>
      <w:r>
        <w:t xml:space="preserve">Append-Only Ledger Link</w:t>
      </w:r>
    </w:p>
    <w:p>
      <w:pPr>
        <w:pStyle w:val="FirstParagraph"/>
      </w:pPr>
      <w:r>
        <w:t xml:space="preserve">WITNESS-4 chains to</w:t>
      </w:r>
      <w:r>
        <w:t xml:space="preserve"> </w:t>
      </w:r>
      <w:r>
        <w:rPr>
          <w:bCs/>
          <w:b/>
        </w:rPr>
        <w:t xml:space="preserve">WITNESS-3</w:t>
      </w:r>
      <w:r>
        <w:t xml:space="preserve"> </w:t>
      </w:r>
      <w:r>
        <w:t xml:space="preserve">(Zenodo DOI 10.5281/zenodo.21434832):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prev_record_hash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858ffd49fd7517fd58ef242226bd7c680bb5db5850a34256fedffd76df0f1caf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Genesis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WITNESS-3 published record_hash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WITNESS-1 → WITNESS-2 → WITNESS-3 →</w:t>
            </w:r>
            <w:r>
              <w:t xml:space="preserve"> </w:t>
            </w:r>
            <w:r>
              <w:rPr>
                <w:bCs/>
                <w:b/>
              </w:rPr>
              <w:t xml:space="preserve">WITNESS-4</w:t>
            </w:r>
          </w:p>
        </w:tc>
      </w:tr>
    </w:tbl>
    <w:p>
      <w:pPr>
        <w:pStyle w:val="BodyText"/>
      </w:pPr>
      <w:r>
        <w:t xml:space="preserve">This makes the WITNESS series a single append-only, third-party-verifiable ledger.</w:t>
      </w:r>
    </w:p>
    <w:p>
      <w:r>
        <w:pict>
          <v:rect style="width:0;height:1.5pt" o:hralign="center" o:hrstd="t" o:hr="t"/>
        </w:pict>
      </w:r>
    </w:p>
    <w:bookmarkEnd w:id="23"/>
    <w:bookmarkStart w:id="24" w:name="X9245b0995bc072e72bef6ba486523b38738200e"/>
    <w:p>
      <w:pPr>
        <w:pStyle w:val="Heading2"/>
      </w:pPr>
      <w:r>
        <w:t xml:space="preserve">CHSH Bell-Inequality Violation (Device-Dependent Certification)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2.5950 ± 0.0340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|S|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Classical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Tsirelson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 standard deviations above classical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Bell Certified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Preregistered PASS criteria (all met):</w:t>
      </w:r>
      <w:r>
        <w:t xml:space="preserve"> </w:t>
      </w:r>
      <w:r>
        <w:t xml:space="preserve">1. |S| &gt; 2.0 ✓</w:t>
      </w:r>
      <w:r>
        <w:t xml:space="preserve"> </w:t>
      </w:r>
      <w:r>
        <w:t xml:space="preserve">2. (|S| − 2) / σ_S ≥ 5.0 ✓</w:t>
      </w:r>
      <w:r>
        <w:t xml:space="preserve"> </w:t>
      </w:r>
      <w:r>
        <w:t xml:space="preserve">3. |S| ≤ 2√2 + 0.10 ✓</w:t>
      </w:r>
    </w:p>
    <w:p>
      <w:pPr>
        <w:pStyle w:val="BodyText"/>
      </w:pPr>
      <w:r>
        <w:rPr>
          <w:bCs/>
          <w:b/>
        </w:rPr>
        <w:t xml:space="preserve">Scope (preregistered non-claim):</w:t>
      </w:r>
      <w:r>
        <w:t xml:space="preserve"> </w:t>
      </w:r>
      <w:r>
        <w:t xml:space="preserve">Certifies a Bell-inequality violation on the tested backend/circuit/qubits/calibration/shots under fair-sampling and no-signalling assumptions.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loophole-free or device-independent certification (qubits on same chip → locality loophole; fair sampling → detection loophole; fixed settings → freedom-of-choice loophole).</w:t>
      </w:r>
    </w:p>
    <w:p>
      <w:r>
        <w:pict>
          <v:rect style="width:0;height:1.5pt" o:hralign="center" o:hrstd="t" o:hr="t"/>
        </w:pict>
      </w:r>
    </w:p>
    <w:bookmarkEnd w:id="24"/>
    <w:bookmarkStart w:id="25" w:name="segment-fused-nonce-v4"/>
    <w:p>
      <w:pPr>
        <w:pStyle w:val="Heading2"/>
      </w:pPr>
      <w:r>
        <w:t xml:space="preserve">7-Segment Fused Nonce (v4)</w:t>
      </w:r>
    </w:p>
    <w:p>
      <w:pPr>
        <w:pStyle w:val="FirstParagraph"/>
      </w:pPr>
      <w:r>
        <w:t xml:space="preserve">The fused nonce binds seven length-prefixed inputs:</w:t>
      </w:r>
    </w:p>
    <w:p>
      <w:pPr>
        <w:pStyle w:val="SourceCode"/>
      </w:pPr>
      <w:r>
        <w:rPr>
          <w:rStyle w:val="VerbatimChar"/>
        </w:rPr>
        <w:t xml:space="preserve">fused_nonce = SHA-256(</w:t>
      </w:r>
      <w:r>
        <w:br/>
      </w:r>
      <w:r>
        <w:rPr>
          <w:rStyle w:val="VerbatimChar"/>
        </w:rPr>
        <w:t xml:space="preserve">      LP(precommit_hash)</w:t>
      </w:r>
      <w:r>
        <w:br/>
      </w:r>
      <w:r>
        <w:rPr>
          <w:rStyle w:val="VerbatimChar"/>
        </w:rPr>
        <w:t xml:space="preserve">    ‖ LP(prev_record_hash)</w:t>
      </w:r>
      <w:r>
        <w:br/>
      </w:r>
      <w:r>
        <w:rPr>
          <w:rStyle w:val="VerbatimChar"/>
        </w:rPr>
        <w:t xml:space="preserve">    ‖ LP(canonical_json(raw_counts))</w:t>
      </w:r>
      <w:r>
        <w:br/>
      </w:r>
      <w:r>
        <w:rPr>
          <w:rStyle w:val="VerbatimChar"/>
        </w:rPr>
        <w:t xml:space="preserve">    ‖ LP(job_id)</w:t>
      </w:r>
      <w:r>
        <w:br/>
      </w:r>
      <w:r>
        <w:rPr>
          <w:rStyle w:val="VerbatimChar"/>
        </w:rPr>
        <w:t xml:space="preserve">    ‖ LP(canonical_json(calibration_snapshot))</w:t>
      </w:r>
      <w:r>
        <w:br/>
      </w:r>
      <w:r>
        <w:rPr>
          <w:rStyle w:val="VerbatimChar"/>
        </w:rPr>
        <w:t xml:space="preserve">    ‖ LP(canonical_json(nist_beacon_record))</w:t>
      </w:r>
      <w:r>
        <w:br/>
      </w:r>
      <w:r>
        <w:rPr>
          <w:rStyle w:val="VerbatimChar"/>
        </w:rPr>
        <w:t xml:space="preserve">    ‖ LP(canonical_json(astro_witness_record))</w:t>
      </w:r>
      <w:r>
        <w:br/>
      </w:r>
      <w:r>
        <w:rPr>
          <w:rStyle w:val="VerbatimChar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4073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(truncated)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precommit_hash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a29de09bef84f459…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fixed before anchors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prev_record_hash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858ffd49fd7517fd…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WITNESS-3 ledger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raw_counts_hash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4c6b7f66fe3c0eea…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QPU measurement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d9e0mjsjeosc73fi…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provider job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82543204b09b3083…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snapshot at run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6fb000218c6782b8…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beacon pulse 2026-07-18T23:27:00.000Z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astro_hash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4e9f0a786650a679…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LIGO/GWOSC GW150914 strain (provenance-only)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Fused Nonce:</w:t>
      </w:r>
      <w:r>
        <w:t xml:space="preserve"> </w:t>
      </w:r>
      <w:r>
        <w:rPr>
          <w:rStyle w:val="VerbatimChar"/>
        </w:rPr>
        <w:t xml:space="preserve">01f07fd8f46e40cabf089f7cdbfb0648924732589d09d95d0e39fa9610e13f94</w:t>
      </w:r>
    </w:p>
    <w:p>
      <w:r>
        <w:pict>
          <v:rect style="width:0;height:1.5pt" o:hralign="center" o:hrstd="t" o:hr="t"/>
        </w:pict>
      </w:r>
    </w:p>
    <w:bookmarkEnd w:id="25"/>
    <w:bookmarkStart w:id="26" w:name="case-verdicts"/>
    <w:p>
      <w:pPr>
        <w:pStyle w:val="Heading2"/>
      </w:pPr>
      <w:r>
        <w:t xml:space="preserve">Case Verdicts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W4-C1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Zero-trust reconstruction from public artifacts + provider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W4-C2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detection across all witnesses + precommit + ledger link (8 sub-trials)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W4-C3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Backdating / pre-computation detection (flagship freshness 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W4-C4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ledger chain integrity (honest link + 3-way broken-link detection)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CHSH Bell-inequality violation certification (device-dependent)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ofrecord-schema-v4.0"/>
    <w:p>
      <w:pPr>
        <w:pStyle w:val="Heading2"/>
      </w:pPr>
      <w:r>
        <w:t xml:space="preserve">ProofRecord™ (schema v4.0)</w:t>
      </w:r>
    </w:p>
    <w:p>
      <w:pPr>
        <w:pStyle w:val="FirstParagraph"/>
      </w:pPr>
      <w:r>
        <w:rPr>
          <w:bCs/>
          <w:b/>
        </w:rPr>
        <w:t xml:space="preserve">record_hash:</w:t>
      </w:r>
      <w:r>
        <w:t xml:space="preserve"> </w:t>
      </w:r>
      <w:r>
        <w:rPr>
          <w:rStyle w:val="VerbatimChar"/>
        </w:rPr>
        <w:t xml:space="preserve">786ceb9a8bd46713de3b7da11cdb7f95518751381b885506d9c66d60c32e3dae</w:t>
      </w:r>
    </w:p>
    <w:p>
      <w:pPr>
        <w:pStyle w:val="BodyText"/>
      </w:pPr>
      <w:r>
        <w:t xml:space="preserve">The record_hash is a SHA-256 over all fields (sorted keys, canonical JSON) except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itself. It provides field integrity; cross-context authorization enforcement is delegated to the ARK-457 layer (unchanged from prior WITNESS records).</w:t>
      </w:r>
    </w:p>
    <w:p>
      <w:r>
        <w:pict>
          <v:rect style="width:0;height:1.5pt" o:hralign="center" o:hrstd="t" o:hr="t"/>
        </w:pict>
      </w:r>
    </w:p>
    <w:bookmarkEnd w:id="27"/>
    <w:bookmarkStart w:id="28" w:name="artifacts-provenance"/>
    <w:p>
      <w:pPr>
        <w:pStyle w:val="Heading2"/>
      </w:pPr>
      <w:r>
        <w:t xml:space="preserve">Artifacts &amp; Provenance</w:t>
      </w:r>
    </w:p>
    <w:p>
      <w:pPr>
        <w:pStyle w:val="FirstParagraph"/>
      </w:pPr>
      <w:r>
        <w:t xml:space="preserve">All raw artifacts are stored in</w:t>
      </w:r>
      <w:r>
        <w:t xml:space="preserve"> </w:t>
      </w:r>
      <w:r>
        <w:rPr>
          <w:rStyle w:val="VerbatimChar"/>
        </w:rPr>
        <w:t xml:space="preserve">witness-4/results/raw/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precommit.json</w:t>
      </w:r>
      <w:r>
        <w:t xml:space="preserve"> </w:t>
      </w:r>
      <w:r>
        <w:t xml:space="preserve">— pre-commitment document (design fixed before anchors)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raw_counts.json</w:t>
      </w:r>
      <w:r>
        <w:t xml:space="preserve"> </w:t>
      </w:r>
      <w:r>
        <w:t xml:space="preserve">— QPU measurement outcomes (re-fetchable from IBM provider by job_id)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calibration_snapshot.json</w:t>
      </w:r>
      <w:r>
        <w:t xml:space="preserve"> </w:t>
      </w:r>
      <w:r>
        <w:t xml:space="preserve">— backend properties at run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nist_witness.json</w:t>
      </w:r>
      <w:r>
        <w:t xml:space="preserve"> </w:t>
      </w:r>
      <w:r>
        <w:t xml:space="preserve">— NIST beacon pulse (re-fetchable from NIST archive by pulseIndex)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astro_witness.json</w:t>
      </w:r>
      <w:r>
        <w:t xml:space="preserve"> </w:t>
      </w:r>
      <w:r>
        <w:t xml:space="preserve">— LIGO/GWOSC GW150914 strain segment SHA-256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job_meta.json</w:t>
      </w:r>
      <w:r>
        <w:t xml:space="preserve"> </w:t>
      </w:r>
      <w:r>
        <w:t xml:space="preserve">— job ID + backend</w:t>
      </w:r>
    </w:p>
    <w:p>
      <w:pPr>
        <w:pStyle w:val="BodyText"/>
      </w:pPr>
      <w:r>
        <w:t xml:space="preserve">The ProofRecord and all case results are in</w:t>
      </w:r>
      <w:r>
        <w:t xml:space="preserve"> </w:t>
      </w:r>
      <w:r>
        <w:rPr>
          <w:rStyle w:val="VerbatimChar"/>
        </w:rPr>
        <w:t xml:space="preserve">witness-4/results/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Public re-verification:</w:t>
      </w:r>
      <w:r>
        <w:t xml:space="preserve"> </w:t>
      </w:r>
      <w:r>
        <w:t xml:space="preserve">Any third party can:</w:t>
      </w:r>
      <w:r>
        <w:t xml:space="preserve"> </w:t>
      </w:r>
      <w:r>
        <w:t xml:space="preserve">1. Re-fetch the NIST pulse, LIGO/GWOSC file, and confirm the IBM job via the provider API.</w:t>
      </w:r>
      <w:r>
        <w:t xml:space="preserve"> </w:t>
      </w:r>
      <w:r>
        <w:t xml:space="preserve">2. Recompute every hash, the fused nonce, the CHSH S, the freshness bracket, and the record_hash from the stored artifacts alone (W4-C1 proves this).</w:t>
      </w:r>
    </w:p>
    <w:p>
      <w:r>
        <w:pict>
          <v:rect style="width:0;height:1.5pt" o:hralign="center" o:hrstd="t" o:hr="t"/>
        </w:pict>
      </w:r>
    </w:p>
    <w:bookmarkEnd w:id="28"/>
    <w:bookmarkStart w:id="29" w:name="harness-fixes-disclosures"/>
    <w:p>
      <w:pPr>
        <w:pStyle w:val="Heading2"/>
      </w:pPr>
      <w:r>
        <w:t xml:space="preserve">Harness Fixes &amp; Disclosures</w:t>
      </w:r>
    </w:p>
    <w:p>
      <w:pPr>
        <w:pStyle w:val="FirstParagraph"/>
      </w:pPr>
      <w:r>
        <w:rPr>
          <w:bCs/>
          <w:b/>
        </w:rPr>
        <w:t xml:space="preserve">FIX-W4-1 (NIST polling for freshness):</w:t>
      </w:r>
      <w:r>
        <w:t xml:space="preserve"> </w:t>
      </w:r>
      <w:r>
        <w:t xml:space="preserve">The NIST</w:t>
      </w:r>
      <w:r>
        <w:t xml:space="preserve"> </w:t>
      </w:r>
      <w:r>
        <w:rPr>
          <w:rStyle w:val="VerbatimChar"/>
        </w:rPr>
        <w:t xml:space="preserve">/pulse/last</w:t>
      </w:r>
      <w:r>
        <w:t xml:space="preserve"> </w:t>
      </w:r>
      <w:r>
        <w:t xml:space="preserve">endpoint has ~3–5 minute propagation delay. To ensure</w:t>
      </w:r>
      <w:r>
        <w:t xml:space="preserve"> </w:t>
      </w:r>
      <w:r>
        <w:rPr>
          <w:rStyle w:val="VerbatimChar"/>
        </w:rPr>
        <w:t xml:space="preserve">design_before_anchor_ok = true</w:t>
      </w:r>
      <w:r>
        <w:t xml:space="preserve">, the harness polls with exponential backoff until it fetches a pulse whose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is strictly AFTER the</w:t>
      </w:r>
      <w:r>
        <w:t xml:space="preserve"> </w:t>
      </w:r>
      <w:r>
        <w:rPr>
          <w:rStyle w:val="VerbatimChar"/>
        </w:rPr>
        <w:t xml:space="preserve">precommit_time_utc</w:t>
      </w:r>
      <w:r>
        <w:t xml:space="preserve">. This fix was discovered and applied during the first live run (the initial attempt fetched a stale pulse, violating the freshness bracket). The fix is a</w:t>
      </w:r>
      <w:r>
        <w:t xml:space="preserve"> </w:t>
      </w:r>
      <w:r>
        <w:rPr>
          <w:bCs/>
          <w:b/>
        </w:rPr>
        <w:t xml:space="preserve">harness correction to achieve the preregistered design</w:t>
      </w:r>
      <w:r>
        <w:t xml:space="preserve">, not a post-lock design change.</w:t>
      </w:r>
    </w:p>
    <w:p>
      <w:pPr>
        <w:pStyle w:val="BodyText"/>
      </w:pPr>
      <w:r>
        <w:rPr>
          <w:bCs/>
          <w:b/>
        </w:rPr>
        <w:t xml:space="preserve">Channel note (inherited from WITNESS-3):</w:t>
      </w:r>
      <w:r>
        <w:t xml:space="preserve"> </w:t>
      </w:r>
      <w:r>
        <w:rPr>
          <w:rStyle w:val="VerbatimChar"/>
        </w:rPr>
        <w:t xml:space="preserve">channel="ibm_cloud"</w:t>
      </w:r>
      <w:r>
        <w:t xml:space="preserve"> </w:t>
      </w:r>
      <w:r>
        <w:t xml:space="preserve">was used from the outset (the correct open-plan channel; this was discovered as FIX-W3-1 in WITNESS-3 and is inherited here,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post-lock WITNESS-4 fix).</w:t>
      </w:r>
    </w:p>
    <w:p>
      <w:r>
        <w:pict>
          <v:rect style="width:0;height:1.5pt" o:hralign="center" o:hrstd="t" o:hr="t"/>
        </w:pict>
      </w:r>
    </w:p>
    <w:bookmarkEnd w:id="29"/>
    <w:bookmarkStart w:id="30" w:name="trademarks"/>
    <w:p>
      <w:pPr>
        <w:pStyle w:val="Heading2"/>
      </w:pPr>
      <w:r>
        <w:t xml:space="preserve">Trademarks</w:t>
      </w:r>
    </w:p>
    <w:p>
      <w:pPr>
        <w:pStyle w:val="FirstParagraph"/>
      </w:pPr>
      <w:r>
        <w:t xml:space="preserve">Remnant Fieldworks™, ExecutionProof™, ProofRecord™, Proof Before Power™, Verification Before Execution™ (common-law / pending; not yet federally registered).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generated:</w:t>
      </w:r>
      <w:r>
        <w:t xml:space="preserve"> </w:t>
      </w:r>
      <w:r>
        <w:t xml:space="preserve">2026-07-18T23:30:09Z</w:t>
      </w:r>
      <w:r>
        <w:br/>
      </w:r>
      <w:r>
        <w:rPr>
          <w:bCs/>
          <w:b/>
        </w:rPr>
        <w:t xml:space="preserve">WITNESS-4 schema:</w:t>
      </w:r>
      <w:r>
        <w:t xml:space="preserve"> </w:t>
      </w:r>
      <w:r>
        <w:rPr>
          <w:rStyle w:val="VerbatimChar"/>
        </w:rPr>
        <w:t xml:space="preserve">witness-proofrecord-4.0</w:t>
      </w:r>
      <w:r>
        <w:br/>
      </w:r>
      <w:r>
        <w:rPr>
          <w:bCs/>
          <w:b/>
        </w:rPr>
        <w:t xml:space="preserve">Preregistration:</w:t>
      </w:r>
      <w:r>
        <w:t xml:space="preserve"> </w:t>
      </w:r>
      <w:r>
        <w:t xml:space="preserve">locked before QPU execution (</w:t>
      </w:r>
      <w:r>
        <w:rPr>
          <w:rStyle w:val="VerbatimChar"/>
        </w:rPr>
        <w:t xml:space="preserve">witness-4/MANIFEST.sha256</w:t>
      </w:r>
      <w:r>
        <w:t xml:space="preserve">)</w:t>
      </w:r>
      <w:r>
        <w:br/>
      </w:r>
      <w:r>
        <w:rPr>
          <w:bCs/>
          <w:b/>
        </w:rPr>
        <w:t xml:space="preserve">Zenodo DOI:</w:t>
      </w:r>
      <w:r>
        <w:t xml:space="preserve"> </w:t>
      </w:r>
      <w:r>
        <w:rPr>
          <w:iCs/>
          <w:i/>
        </w:rPr>
        <w:t xml:space="preserve">(Held for review and file-first IP-gate decision)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2026-07-18T23:32:29Z</dcterms:created>
  <dcterms:modified xsi:type="dcterms:W3CDTF">2026-07-18T23:32:29Z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