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itness-1-preregistration"/>
    <w:p>
      <w:pPr>
        <w:pStyle w:val="Heading1"/>
      </w:pPr>
      <w:r>
        <w:t xml:space="preserve">WITNESS-1 Preregistration</w:t>
      </w:r>
    </w:p>
    <w:bookmarkStart w:id="20" w:name="X4b41d6edccc96416b6090d7be711ac49a753acc"/>
    <w:p>
      <w:pPr>
        <w:pStyle w:val="Heading2"/>
      </w:pPr>
      <w:r>
        <w:t xml:space="preserve">Quantum-Sourced Authorization Nonces with Verifiable Provenance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WITNESS (first record)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Derek Adam Hone / Remnant Fieldworks Inc.</w:t>
      </w:r>
      <w:r>
        <w:t xml:space="preserve"> </w:t>
      </w:r>
      <w:r>
        <w:rPr>
          <w:bCs/>
          <w:b/>
        </w:rPr>
        <w:t xml:space="preserve">Preregistration lock date:</w:t>
      </w:r>
      <w:r>
        <w:t xml:space="preserve"> </w:t>
      </w:r>
      <w:r>
        <w:t xml:space="preserve">2026-07-18 (UTC)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PREREGISTERED — locked before execution</w:t>
      </w:r>
    </w:p>
    <w:p>
      <w:r>
        <w:pict>
          <v:rect style="width:0;height:1.5pt" o:hralign="center" o:hrstd="t" o:hr="t"/>
        </w:pict>
      </w:r>
    </w:p>
    <w:bookmarkEnd w:id="20"/>
    <w:bookmarkStart w:id="21" w:name="claim-single-falsifiable"/>
    <w:p>
      <w:pPr>
        <w:pStyle w:val="Heading2"/>
      </w:pPr>
      <w:r>
        <w:t xml:space="preserve">1. Claim (single, falsifiable)</w:t>
      </w:r>
    </w:p>
    <w:p>
      <w:pPr>
        <w:pStyle w:val="FirstParagraph"/>
      </w:pPr>
      <w:r>
        <w:t xml:space="preserve">A ProofRecord whose challenge nonce is derived from measured QPU output, with the IBM</w:t>
      </w:r>
      <w:r>
        <w:t xml:space="preserve"> </w:t>
      </w:r>
      <w:r>
        <w:t xml:space="preserve">job ID and raw counts embedded, can be:</w:t>
      </w:r>
    </w:p>
    <w:p>
      <w:pPr>
        <w:numPr>
          <w:ilvl w:val="0"/>
          <w:numId w:val="1001"/>
        </w:numPr>
        <w:pStyle w:val="Compact"/>
      </w:pPr>
      <w:r>
        <w:t xml:space="preserve">verified end-to-end against the provider’s job record, and</w:t>
      </w:r>
    </w:p>
    <w:p>
      <w:pPr>
        <w:numPr>
          <w:ilvl w:val="0"/>
          <w:numId w:val="1001"/>
        </w:numPr>
        <w:pStyle w:val="Compact"/>
      </w:pPr>
      <w:r>
        <w:t xml:space="preserve">detected as forged when the nonce, job ID, or counts are substituted —</w:t>
      </w:r>
    </w:p>
    <w:p>
      <w:pPr>
        <w:pStyle w:val="FirstParagraph"/>
      </w:pPr>
      <w:r>
        <w:t xml:space="preserve">under the tested construction.</w:t>
      </w:r>
    </w:p>
    <w:p>
      <w:r>
        <w:pict>
          <v:rect style="width:0;height:1.5pt" o:hralign="center" o:hrstd="t" o:hr="t"/>
        </w:pict>
      </w:r>
    </w:p>
    <w:bookmarkEnd w:id="21"/>
    <w:bookmarkStart w:id="22" w:name="non-claims-explicit"/>
    <w:p>
      <w:pPr>
        <w:pStyle w:val="Heading2"/>
      </w:pPr>
      <w:r>
        <w:t xml:space="preserve">2. Non-Claims (explicit)</w:t>
      </w:r>
    </w:p>
    <w:p>
      <w:pPr>
        <w:numPr>
          <w:ilvl w:val="0"/>
          <w:numId w:val="1002"/>
        </w:numPr>
        <w:pStyle w:val="Compact"/>
      </w:pPr>
      <w:r>
        <w:t xml:space="preserve">Does NOT prove quantum randomness superiority over CSPRNG. No Bell test is performed;</w:t>
      </w:r>
      <w:r>
        <w:t xml:space="preserve"> </w:t>
      </w:r>
      <w:r>
        <w:t xml:space="preserve">device bias is present and acknowledged.</w:t>
      </w:r>
    </w:p>
    <w:p>
      <w:pPr>
        <w:numPr>
          <w:ilvl w:val="0"/>
          <w:numId w:val="1002"/>
        </w:numPr>
        <w:pStyle w:val="Compact"/>
      </w:pPr>
      <w:r>
        <w:t xml:space="preserve">Does NOT prove universal security. Results apply only within the tested construction,</w:t>
      </w:r>
      <w:r>
        <w:t xml:space="preserve"> </w:t>
      </w:r>
      <w:r>
        <w:t xml:space="preserve">circuit model, backend, qubits, calibration snapshot, shot count, and software harness.</w:t>
      </w:r>
    </w:p>
    <w:p>
      <w:pPr>
        <w:numPr>
          <w:ilvl w:val="0"/>
          <w:numId w:val="1002"/>
        </w:numPr>
        <w:pStyle w:val="Compact"/>
      </w:pPr>
      <w:r>
        <w:t xml:space="preserve">Does NOT constitute a production certification or cryptographic security proof.</w:t>
      </w:r>
    </w:p>
    <w:p>
      <w:r>
        <w:pict>
          <v:rect style="width:0;height:1.5pt" o:hralign="center" o:hrstd="t" o:hr="t"/>
        </w:pict>
      </w:r>
    </w:p>
    <w:bookmarkEnd w:id="22"/>
    <w:bookmarkStart w:id="23" w:name="circuit-specification"/>
    <w:p>
      <w:pPr>
        <w:pStyle w:val="Heading2"/>
      </w:pPr>
      <w:r>
        <w:t xml:space="preserve">3. Circuit Specification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Qubits:</w:t>
      </w:r>
      <w:r>
        <w:t xml:space="preserve"> </w:t>
      </w:r>
      <w:r>
        <w:t xml:space="preserve">8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Circuit:</w:t>
      </w:r>
      <w:r>
        <w:t xml:space="preserve"> </w:t>
      </w:r>
      <w:r>
        <w:t xml:space="preserve">Hadamard on all 8 qubits, measure all — one circuit 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4,000, one job submission.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 selection:</w:t>
      </w:r>
      <w:r>
        <w:t xml:space="preserve"> </w:t>
      </w:r>
      <w:r>
        <w:t xml:space="preserve">Least-busy available IBM Quantum backend at submission time.</w:t>
      </w:r>
      <w:r>
        <w:t xml:space="preserve"> </w:t>
      </w:r>
      <w:r>
        <w:t xml:space="preserve">Backend name, calibration snapshot, timestamp, and job ID recorded in results/raw/.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QPU time budget:</w:t>
      </w:r>
      <w:r>
        <w:t xml:space="preserve"> </w:t>
      </w:r>
      <w:r>
        <w:t xml:space="preserve">Estimated seconds. Account must have sufficient remaining time</w:t>
      </w:r>
      <w:r>
        <w:t xml:space="preserve"> </w:t>
      </w:r>
      <w:r>
        <w:t xml:space="preserve">(~2 minutes minimum). If insufficient time remains, STOP — do not purchase time.</w:t>
      </w:r>
    </w:p>
    <w:p>
      <w:r>
        <w:pict>
          <v:rect style="width:0;height:1.5pt" o:hralign="center" o:hrstd="t" o:hr="t"/>
        </w:pict>
      </w:r>
    </w:p>
    <w:bookmarkEnd w:id="23"/>
    <w:bookmarkStart w:id="24" w:name="nonce-construction"/>
    <w:p>
      <w:pPr>
        <w:pStyle w:val="Heading2"/>
      </w:pPr>
      <w:r>
        <w:t xml:space="preserve">4. Nonce Construction</w:t>
      </w:r>
    </w:p>
    <w:p>
      <w:pPr>
        <w:pStyle w:val="SourceCode"/>
      </w:pPr>
      <w:r>
        <w:rPr>
          <w:rStyle w:val="VerbatimChar"/>
        </w:rPr>
        <w:t xml:space="preserve">nonce = SHA-256(</w:t>
      </w:r>
      <w:r>
        <w:br/>
      </w:r>
      <w:r>
        <w:rPr>
          <w:rStyle w:val="VerbatimChar"/>
        </w:rPr>
        <w:t xml:space="preserve">    canonical_json(raw_counts) || job_id || canonical_json(calibration_snapshot)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Canonical JSON:</w:t>
      </w:r>
      <w:r>
        <w:t xml:space="preserve"> </w:t>
      </w:r>
      <w:r>
        <w:t xml:space="preserve">sorted keys, no whitespace, UTF-8 encoding.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Concatenation:</w:t>
      </w:r>
      <w:r>
        <w:t xml:space="preserve"> </w:t>
      </w:r>
      <w:r>
        <w:t xml:space="preserve">byte-level, no separator between fields.</w:t>
      </w:r>
    </w:p>
    <w:p>
      <w:pPr>
        <w:pStyle w:val="FirstParagraph"/>
      </w:pPr>
      <w:r>
        <w:rPr>
          <w:bCs/>
          <w:b/>
        </w:rPr>
        <w:t xml:space="preserve">ProofRecord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"&lt;hex string, 64 chars&gt;"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"&lt;IBM Quantum job ID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"&lt;backend name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"calibration_hash"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"&lt;SHA-256 hex of canonical_json(calibration_snapshot)&gt;"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"&lt;ISO-8601 UTC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"raw_counts_hash"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"&lt;SHA-256 hex of canonical_json(raw_counts)&gt;"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"&lt;string — execution context identifier&gt;"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8" w:name="X581c9c44f5665a7a44e7b2bc85584e533580c8b"/>
    <w:p>
      <w:pPr>
        <w:pStyle w:val="Heading2"/>
      </w:pPr>
      <w:r>
        <w:t xml:space="preserve">5. Preregistered Test Cases &amp; Pass/Fail Criteria</w:t>
      </w:r>
    </w:p>
    <w:bookmarkStart w:id="25" w:name="w1-c1-honest-verification"/>
    <w:p>
      <w:pPr>
        <w:pStyle w:val="Heading3"/>
      </w:pPr>
      <w:r>
        <w:t xml:space="preserve">W1-C1 — Honest Verification</w:t>
      </w:r>
    </w:p>
    <w:p>
      <w:pPr>
        <w:pStyle w:val="FirstParagraph"/>
      </w:pPr>
      <w:r>
        <w:rPr>
          <w:bCs/>
          <w:b/>
        </w:rPr>
        <w:t xml:space="preserve">Procedure:</w:t>
      </w:r>
      <w:r>
        <w:t xml:space="preserve"> </w:t>
      </w:r>
      <w:r>
        <w:t xml:space="preserve">Recompute the nonce from stored raw counts + job ID + calibration</w:t>
      </w:r>
      <w:r>
        <w:t xml:space="preserve"> </w:t>
      </w:r>
      <w:r>
        <w:t xml:space="preserve">snapshot. Verify the recomputed nonce matches the ProofRecord nonce exactly.</w:t>
      </w:r>
      <w:r>
        <w:t xml:space="preserve"> </w:t>
      </w:r>
      <w:r>
        <w:t xml:space="preserve">Independently confirm job ID and counts against the IBM provider job record via API.</w:t>
      </w:r>
    </w:p>
    <w:p>
      <w:pPr>
        <w:pStyle w:val="BodyText"/>
      </w:pPr>
      <w:r>
        <w:rPr>
          <w:bCs/>
          <w:b/>
        </w:rPr>
        <w:t xml:space="preserve">PASS criterion:</w:t>
      </w:r>
      <w:r>
        <w:t xml:space="preserve"> </w:t>
      </w:r>
      <w:r>
        <w:t xml:space="preserve">Recomputed nonce matches; provider job record confirms job ID and</w:t>
      </w:r>
      <w:r>
        <w:t xml:space="preserve"> </w:t>
      </w:r>
      <w:r>
        <w:t xml:space="preserve">raw counts match stored values. Verification succeeds end-to-end.</w:t>
      </w:r>
    </w:p>
    <w:p>
      <w:pPr>
        <w:pStyle w:val="BodyTex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bookmarkEnd w:id="25"/>
    <w:bookmarkStart w:id="26" w:name="w1-c2-substitution-tamper-detection"/>
    <w:p>
      <w:pPr>
        <w:pStyle w:val="Heading3"/>
      </w:pPr>
      <w:r>
        <w:t xml:space="preserve">W1-C2 — Substitution / Tamper Detection</w:t>
      </w:r>
    </w:p>
    <w:p>
      <w:pPr>
        <w:pStyle w:val="FirstParagraph"/>
      </w:pPr>
      <w:r>
        <w:rPr>
          <w:bCs/>
          <w:b/>
        </w:rPr>
        <w:t xml:space="preserve">Procedure:</w:t>
      </w:r>
      <w:r>
        <w:t xml:space="preserve"> </w:t>
      </w:r>
      <w:r>
        <w:t xml:space="preserve">Three independent sub-trials, each altering exactly one field:</w:t>
      </w:r>
    </w:p>
    <w:p>
      <w:pPr>
        <w:numPr>
          <w:ilvl w:val="0"/>
          <w:numId w:val="1005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Substitute raw_counts with a different valid-format counts dict; rerun verification.</w:t>
      </w:r>
    </w:p>
    <w:p>
      <w:pPr>
        <w:numPr>
          <w:ilvl w:val="0"/>
          <w:numId w:val="1005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Substitute job_id with a different string; rerun verification.</w:t>
      </w:r>
    </w:p>
    <w:p>
      <w:pPr>
        <w:numPr>
          <w:ilvl w:val="0"/>
          <w:numId w:val="1005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Substitute calibration_snapshot with a different valid-format dict; rerun verification.</w:t>
      </w:r>
    </w:p>
    <w:p>
      <w:pPr>
        <w:pStyle w:val="FirstParagraph"/>
      </w:pPr>
      <w:r>
        <w:rPr>
          <w:bCs/>
          <w:b/>
        </w:rPr>
        <w:t xml:space="preserve">PASS criterion:</w:t>
      </w:r>
      <w:r>
        <w:t xml:space="preserve"> </w:t>
      </w:r>
      <w:r>
        <w:t xml:space="preserve">ALL THREE substitutions are detected as forged (nonce mismatch</w:t>
      </w:r>
      <w:r>
        <w:t xml:space="preserve"> </w:t>
      </w:r>
      <w:r>
        <w:t xml:space="preserve">reported for each). No substitution passes verification.</w:t>
      </w:r>
    </w:p>
    <w:p>
      <w:pPr>
        <w:pStyle w:val="BodyTex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PASS (all three tamper attempts detected).</w:t>
      </w:r>
    </w:p>
    <w:p>
      <w:r>
        <w:pict>
          <v:rect style="width:0;height:1.5pt" o:hralign="center" o:hrstd="t" o:hr="t"/>
        </w:pict>
      </w:r>
    </w:p>
    <w:bookmarkEnd w:id="26"/>
    <w:bookmarkStart w:id="27" w:name="w1-c3-cross-context-replay"/>
    <w:p>
      <w:pPr>
        <w:pStyle w:val="Heading3"/>
      </w:pPr>
      <w:r>
        <w:t xml:space="preserve">W1-C3 — Cross-Context Replay</w:t>
      </w:r>
    </w:p>
    <w:p>
      <w:pPr>
        <w:pStyle w:val="FirstParagraph"/>
      </w:pPr>
      <w:r>
        <w:rPr>
          <w:bCs/>
          <w:b/>
        </w:rPr>
        <w:t xml:space="preserve">Procedure:</w:t>
      </w:r>
      <w:r>
        <w:t xml:space="preserve"> </w:t>
      </w:r>
      <w:r>
        <w:t xml:space="preserve">Present the valid nonce/ProofRecord (from W1-C1) to a second</w:t>
      </w:r>
      <w:r>
        <w:t xml:space="preserve"> </w:t>
      </w:r>
      <w:r>
        <w:t xml:space="preserve">authorization context with a different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. Use the ARK-457 replay-protection</w:t>
      </w:r>
      <w:r>
        <w:t xml:space="preserve"> </w:t>
      </w:r>
      <w:r>
        <w:t xml:space="preserve">logic (imported as a library module —</w:t>
      </w:r>
      <w:r>
        <w:t xml:space="preserve"> </w:t>
      </w:r>
      <w:r>
        <w:rPr>
          <w:rStyle w:val="VerbatimChar"/>
        </w:rPr>
        <w:t xml:space="preserve">src/ark457_replay.py</w:t>
      </w:r>
      <w:r>
        <w:t xml:space="preserve">) to evaluate the replay.</w:t>
      </w:r>
    </w:p>
    <w:p>
      <w:pPr>
        <w:pStyle w:val="BodyText"/>
      </w:pPr>
      <w:r>
        <w:rPr>
          <w:bCs/>
          <w:b/>
        </w:rPr>
        <w:t xml:space="preserve">PASS criterion:</w:t>
      </w:r>
      <w:r>
        <w:t xml:space="preserve"> </w:t>
      </w:r>
      <w:r>
        <w:t xml:space="preserve">The replay is DENIED by the replay-protection logic (context_id</w:t>
      </w:r>
      <w:r>
        <w:t xml:space="preserve"> </w:t>
      </w:r>
      <w:r>
        <w:t xml:space="preserve">mismatch detected). The original context_id is accepted; the replay context is rejected.</w:t>
      </w:r>
    </w:p>
    <w:p>
      <w:pPr>
        <w:pStyle w:val="BodyTex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DENY (PASS).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verall-verdict-rule"/>
    <w:p>
      <w:pPr>
        <w:pStyle w:val="Heading2"/>
      </w:pPr>
      <w:r>
        <w:t xml:space="preserve">6. Overall Verdict Rule</w:t>
      </w:r>
    </w:p>
    <w:p>
      <w:pPr>
        <w:pStyle w:val="FirstParagraph"/>
      </w:pPr>
      <w:r>
        <w:t xml:space="preserve">PASS iff all three cases meet their stated criteria.</w:t>
      </w:r>
    </w:p>
    <w:p>
      <w:pPr>
        <w:pStyle w:val="BodyText"/>
      </w:pPr>
      <w:r>
        <w:t xml:space="preserve">Any single case failing its criterion = overall FAIL, published as-is with full</w:t>
      </w:r>
      <w:r>
        <w:t xml:space="preserve"> </w:t>
      </w:r>
      <w:r>
        <w:t xml:space="preserve">root-cause analysis. A follow-up record (WITNESS-1b) may be registered if warranted.</w:t>
      </w:r>
    </w:p>
    <w:p>
      <w:r>
        <w:pict>
          <v:rect style="width:0;height:1.5pt" o:hralign="center" o:hrstd="t" o:hr="t"/>
        </w:pict>
      </w:r>
    </w:p>
    <w:bookmarkEnd w:id="29"/>
    <w:bookmarkStart w:id="30" w:name="related-works"/>
    <w:p>
      <w:pPr>
        <w:pStyle w:val="Heading2"/>
      </w:pPr>
      <w:r>
        <w:t xml:space="preserve">7. Related Works</w:t>
      </w:r>
    </w:p>
    <w:p>
      <w:pPr>
        <w:numPr>
          <w:ilvl w:val="0"/>
          <w:numId w:val="1009"/>
        </w:numPr>
        <w:pStyle w:val="Compact"/>
      </w:pPr>
      <w:r>
        <w:t xml:space="preserve">ARK Corpus (ExecutionProof series): concept DOI 10.5281/zenodo.21398675</w:t>
      </w:r>
      <w:r>
        <w:t xml:space="preserve"> </w:t>
      </w:r>
      <w:r>
        <w:t xml:space="preserve">(19 records, 17 experiment IDs, 16 PASS / 2 FAIL / 1 gate-stop)</w:t>
      </w:r>
    </w:p>
    <w:p>
      <w:pPr>
        <w:numPr>
          <w:ilvl w:val="0"/>
          <w:numId w:val="1009"/>
        </w:numPr>
        <w:pStyle w:val="Compact"/>
      </w:pPr>
      <w:r>
        <w:t xml:space="preserve">ARK-457 (cross-context replay, most directly related):</w:t>
      </w:r>
      <w:r>
        <w:t xml:space="preserve"> </w:t>
      </w:r>
      <w:r>
        <w:t xml:space="preserve">DOI 10.5281/zenodo.21421742 — replay-protection logic used here as library.</w:t>
      </w:r>
    </w:p>
    <w:p>
      <w:pPr>
        <w:numPr>
          <w:ilvl w:val="0"/>
          <w:numId w:val="1009"/>
        </w:numPr>
        <w:pStyle w:val="Compact"/>
      </w:pPr>
      <w:r>
        <w:t xml:space="preserve">WITNESS-1 is an independent record in a new WITNESS series; it is not a fork</w:t>
      </w:r>
      <w:r>
        <w:t xml:space="preserve"> </w:t>
      </w:r>
      <w:r>
        <w:t xml:space="preserve">of executionproof-testbeds or uip-phase1-testbeds.</w:t>
      </w:r>
    </w:p>
    <w:p>
      <w:r>
        <w:pict>
          <v:rect style="width:0;height:1.5pt" o:hralign="center" o:hrstd="t" o:hr="t"/>
        </w:pict>
      </w:r>
    </w:p>
    <w:bookmarkEnd w:id="30"/>
    <w:bookmarkStart w:id="31" w:name="mandatory-scope-disclaimer"/>
    <w:p>
      <w:pPr>
        <w:pStyle w:val="Heading2"/>
      </w:pPr>
      <w:r>
        <w:t xml:space="preserve">8. Mandatory Scope Disclaimer</w:t>
      </w:r>
    </w:p>
    <w:p>
      <w:pPr>
        <w:pStyle w:val="BlockText"/>
      </w:pPr>
      <w:r>
        <w:t xml:space="preserve">“</w:t>
      </w:r>
      <w:r>
        <w:t xml:space="preserve">Results apply within the tested circuit model, backend, qubits, calibration, shot</w:t>
      </w:r>
      <w:r>
        <w:t xml:space="preserve"> </w:t>
      </w:r>
      <w:r>
        <w:t xml:space="preserve">counts, software harnesses, and stated experimental conditions. This is an experimental</w:t>
      </w:r>
      <w:r>
        <w:t xml:space="preserve"> </w:t>
      </w:r>
      <w:r>
        <w:t xml:space="preserve">evidence record, not a universal security proof or production certification.</w:t>
      </w:r>
      <w:r>
        <w:t xml:space="preserve">”</w:t>
      </w:r>
    </w:p>
    <w:p>
      <w:pPr>
        <w:pStyle w:val="FirstParagraph"/>
      </w:pPr>
      <w:r>
        <w:t xml:space="preserve">This disclaimer is reproduced verbatim in the README and Zenodo deposit description.</w:t>
      </w:r>
    </w:p>
    <w:p>
      <w:r>
        <w:pict>
          <v:rect style="width:0;height:1.5pt" o:hralign="center" o:hrstd="t" o:hr="t"/>
        </w:pict>
      </w:r>
    </w:p>
    <w:bookmarkEnd w:id="31"/>
    <w:bookmarkStart w:id="32" w:name="manifest-lock-reference"/>
    <w:p>
      <w:pPr>
        <w:pStyle w:val="Heading2"/>
      </w:pPr>
      <w:r>
        <w:t xml:space="preserve">9. MANIFEST Lock Reference</w:t>
      </w:r>
    </w:p>
    <w:p>
      <w:pPr>
        <w:pStyle w:val="FirstParagraph"/>
      </w:pPr>
      <w:r>
        <w:rPr>
          <w:rStyle w:val="VerbatimChar"/>
        </w:rPr>
        <w:t xml:space="preserve">MANIFEST.sha256</w:t>
      </w:r>
      <w:r>
        <w:t xml:space="preserve"> </w:t>
      </w:r>
      <w:r>
        <w:t xml:space="preserve">covers this preregistration document and all files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  <w:r>
        <w:t xml:space="preserve"> </w:t>
      </w:r>
      <w:r>
        <w:t xml:space="preserve">It is committed before any QPU job is submitted. Post-lock code changes are prohibited;</w:t>
      </w:r>
      <w:r>
        <w:t xml:space="preserve"> </w:t>
      </w:r>
      <w:r>
        <w:t xml:space="preserve">any pre-execution harness defect triggers gate-stop protocol.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Remnant Fieldworks RF Process. Preregistration-first. No post-hoc changes.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2026-07-18T04:40:29Z</dcterms:created>
  <dcterms:modified xsi:type="dcterms:W3CDTF">2026-07-18T04:40:29Z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