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witness-2-results-report"/>
    <w:p>
      <w:pPr>
        <w:pStyle w:val="Heading1"/>
      </w:pPr>
      <w:r>
        <w:t xml:space="preserve">WITNESS-2 Results Report</w:t>
      </w:r>
    </w:p>
    <w:p>
      <w:pPr>
        <w:pStyle w:val="FirstParagraph"/>
      </w:pPr>
      <w:r>
        <w:rPr>
          <w:bCs/>
          <w:b/>
        </w:rPr>
        <w:t xml:space="preserve">Series:</w:t>
      </w:r>
      <w:r>
        <w:t xml:space="preserve"> </w:t>
      </w:r>
      <w:r>
        <w:t xml:space="preserve">WITNESS (Quantum-Nonce Authorization Provenance Study)</w:t>
      </w:r>
      <w:r>
        <w:br/>
      </w:r>
      <w:r>
        <w:rPr>
          <w:bCs/>
          <w:b/>
        </w:rPr>
        <w:t xml:space="preserve">Experiment ID:</w:t>
      </w:r>
      <w:r>
        <w:t xml:space="preserve"> </w:t>
      </w:r>
      <w:r>
        <w:t xml:space="preserve">WITNESS-2</w:t>
      </w:r>
      <w:r>
        <w:br/>
      </w:r>
      <w:r>
        <w:rPr>
          <w:bCs/>
          <w:b/>
        </w:rPr>
        <w:t xml:space="preserve">Institution:</w:t>
      </w:r>
      <w:r>
        <w:t xml:space="preserve"> </w:t>
      </w:r>
      <w:r>
        <w:t xml:space="preserve">Remnant Fieldworks Inc.</w:t>
      </w:r>
      <w:r>
        <w:br/>
      </w:r>
      <w:r>
        <w:rPr>
          <w:bCs/>
          <w:b/>
        </w:rPr>
        <w:t xml:space="preserve">PI:</w:t>
      </w:r>
      <w:r>
        <w:t xml:space="preserve"> </w:t>
      </w:r>
      <w:r>
        <w:t xml:space="preserve">Derek Adam Hone</w:t>
      </w:r>
      <w:r>
        <w:br/>
      </w:r>
      <w:r>
        <w:rPr>
          <w:bCs/>
          <w:b/>
        </w:rPr>
        <w:t xml:space="preserve">Date of QPU Execution:</w:t>
      </w:r>
      <w:r>
        <w:t xml:space="preserve"> </w:t>
      </w:r>
      <w:r>
        <w:t xml:space="preserve">2026-07-18</w:t>
      </w:r>
      <w:r>
        <w:br/>
      </w:r>
      <w:r>
        <w:rPr>
          <w:bCs/>
          <w:b/>
        </w:rPr>
        <w:t xml:space="preserve">Zenodo published record (Preregistered Execution Record):</w:t>
      </w:r>
      <w:r>
        <w:t xml:space="preserve"> </w:t>
      </w:r>
      <w:r>
        <w:t xml:space="preserve">https://zenodo.org/records/21425381</w:t>
      </w:r>
      <w:r>
        <w:br/>
      </w:r>
      <w:r>
        <w:rPr>
          <w:bCs/>
          <w:b/>
        </w:rPr>
        <w:t xml:space="preserve">DOI (version):</w:t>
      </w:r>
      <w:r>
        <w:t xml:space="preserve"> </w:t>
      </w:r>
      <w:hyperlink r:id="rId20">
        <w:r>
          <w:rPr>
            <w:rStyle w:val="Hyperlink"/>
          </w:rPr>
          <w:t xml:space="preserve">10.5281/zenodo.21425381</w:t>
        </w:r>
      </w:hyperlink>
      <w:r>
        <w:br/>
      </w:r>
      <w:r>
        <w:rPr>
          <w:bCs/>
          <w:b/>
        </w:rPr>
        <w:t xml:space="preserve">DOI (concept, WITNESS series):</w:t>
      </w:r>
      <w:r>
        <w:t xml:space="preserve"> </w:t>
      </w:r>
      <w:r>
        <w:t xml:space="preserve">10.5281/zenodo.21424323</w:t>
      </w:r>
      <w:r>
        <w:br/>
      </w:r>
      <w:r>
        <w:rPr>
          <w:bCs/>
          <w:b/>
        </w:rPr>
        <w:t xml:space="preserve">WITNESS-1 Reference DOI:</w:t>
      </w:r>
      <w:r>
        <w:t xml:space="preserve"> </w:t>
      </w:r>
      <w:r>
        <w:t xml:space="preserve">10.5281/zenodo.21424324</w:t>
      </w:r>
    </w:p>
    <w:p>
      <w:r>
        <w:pict>
          <v:rect style="width:0;height:1.5pt" o:hralign="center" o:hrstd="t" o:hr="t"/>
        </w:pict>
      </w:r>
    </w:p>
    <w:bookmarkStart w:id="21" w:name="executive-summary"/>
    <w:p>
      <w:pPr>
        <w:pStyle w:val="Heading2"/>
      </w:pPr>
      <w:r>
        <w:t xml:space="preserve">1. Executive Summary</w:t>
      </w:r>
    </w:p>
    <w:p>
      <w:pPr>
        <w:pStyle w:val="FirstParagraph"/>
      </w:pPr>
      <w:r>
        <w:t xml:space="preserve">WITNESS-2 demonstrates that a quantum-sourced nonce bound to a specific execution context via the ARK-457 five-dimensional authorization boundary can withstand: (a) honest end-to-end verification against the IBM provider record, (b) substitution / tamper detection across four distinct forgery patterns, and (c) cross-context replay rejection through both record-hash integrity and ARK-457 context binding.</w:t>
      </w:r>
    </w:p>
    <w:p>
      <w:pPr>
        <w:pStyle w:val="BodyText"/>
      </w:pPr>
      <w:r>
        <w:t xml:space="preserve">All three preregistered cases</w:t>
      </w:r>
      <w:r>
        <w:t xml:space="preserve"> </w:t>
      </w:r>
      <w:r>
        <w:rPr>
          <w:bCs/>
          <w:b/>
        </w:rPr>
        <w:t xml:space="preserve">PASS</w:t>
      </w:r>
      <w:r>
        <w:t xml:space="preserve">. The experiment ran on</w:t>
      </w:r>
      <w:r>
        <w:t xml:space="preserve"> </w:t>
      </w:r>
      <w:r>
        <w:rPr>
          <w:bCs/>
          <w:b/>
        </w:rPr>
        <w:t xml:space="preserve">ibm_fez</w:t>
      </w:r>
      <w:r>
        <w:t xml:space="preserve"> </w:t>
      </w:r>
      <w:r>
        <w:t xml:space="preserve">(IBM Quantum, open plan) using 4000 shots across 8 qubits, producing 256 unique measurement outcomes — covering the full 2⁸ = 256 computational basis states — consistent with a uniform superposition.</w:t>
      </w:r>
    </w:p>
    <w:p>
      <w:pPr>
        <w:pStyle w:val="BodyText"/>
      </w:pPr>
      <w:r>
        <w:t xml:space="preserve">Two pre-execution harness fixes (FIX-1, FIX-2) were applied and disclosed before QPU submission, consistent with the ARK-451 / WITNESS-1 harness-fix precedent. Neither fix touched circuit logic, shot count, case definitions, criteria, or the decision procedure.</w:t>
      </w:r>
    </w:p>
    <w:p>
      <w:r>
        <w:pict>
          <v:rect style="width:0;height:1.5pt" o:hralign="center" o:hrstd="t" o:hr="t"/>
        </w:pict>
      </w:r>
    </w:p>
    <w:bookmarkEnd w:id="21"/>
    <w:bookmarkStart w:id="22" w:name="preregistration"/>
    <w:p>
      <w:pPr>
        <w:pStyle w:val="Heading2"/>
      </w:pPr>
      <w:r>
        <w:t xml:space="preserve">2. Preregistration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Preregistration document</w:t>
            </w:r>
          </w:p>
        </w:tc>
        <w:tc>
          <w:tcPr/>
          <w:p>
            <w:pPr>
              <w:pStyle w:val="Compact"/>
              <w:jc w:val="left"/>
            </w:pPr>
            <w:r>
              <w:rPr>
                <w:rStyle w:val="VerbatimChar"/>
              </w:rPr>
              <w:t xml:space="preserve">witness-2/prereg/WITNESS-2-prereg.md</w:t>
            </w:r>
          </w:p>
        </w:tc>
      </w:tr>
      <w:tr>
        <w:tc>
          <w:tcPr/>
          <w:p>
            <w:pPr>
              <w:pStyle w:val="Compact"/>
              <w:jc w:val="left"/>
            </w:pPr>
            <w:r>
              <w:t xml:space="preserve">MANIFEST lock</w:t>
            </w:r>
          </w:p>
        </w:tc>
        <w:tc>
          <w:tcPr/>
          <w:p>
            <w:pPr>
              <w:pStyle w:val="Compact"/>
              <w:jc w:val="left"/>
            </w:pPr>
            <w:r>
              <w:rPr>
                <w:rStyle w:val="VerbatimChar"/>
              </w:rPr>
              <w:t xml:space="preserve">witness-2/MANIFEST.sha256</w:t>
            </w:r>
          </w:p>
        </w:tc>
      </w:tr>
      <w:tr>
        <w:tc>
          <w:tcPr/>
          <w:p>
            <w:pPr>
              <w:pStyle w:val="Compact"/>
              <w:jc w:val="left"/>
            </w:pPr>
            <w:r>
              <w:t xml:space="preserve">Preregistration format</w:t>
            </w:r>
          </w:p>
        </w:tc>
        <w:tc>
          <w:tcPr/>
          <w:p>
            <w:pPr>
              <w:pStyle w:val="Compact"/>
              <w:jc w:val="left"/>
            </w:pPr>
            <w:r>
              <w:t xml:space="preserve">Markdown + PDF + DOCX</w:t>
            </w:r>
          </w:p>
        </w:tc>
      </w:tr>
      <w:tr>
        <w:tc>
          <w:tcPr/>
          <w:p>
            <w:pPr>
              <w:pStyle w:val="Compact"/>
              <w:jc w:val="left"/>
            </w:pPr>
            <w:r>
              <w:t xml:space="preserve">Schema version</w:t>
            </w:r>
          </w:p>
        </w:tc>
        <w:tc>
          <w:tcPr/>
          <w:p>
            <w:pPr>
              <w:pStyle w:val="Compact"/>
              <w:jc w:val="left"/>
            </w:pPr>
            <w:r>
              <w:rPr>
                <w:rStyle w:val="VerbatimChar"/>
              </w:rPr>
              <w:t xml:space="preserve">witness-proofrecord-1.0</w:t>
            </w:r>
          </w:p>
        </w:tc>
      </w:tr>
      <w:tr>
        <w:tc>
          <w:tcPr/>
          <w:p>
            <w:pPr>
              <w:pStyle w:val="Compact"/>
              <w:jc w:val="left"/>
            </w:pPr>
            <w:r>
              <w:t xml:space="preserve">Context ID</w:t>
            </w:r>
          </w:p>
        </w:tc>
        <w:tc>
          <w:tcPr/>
          <w:p>
            <w:pPr>
              <w:pStyle w:val="Compact"/>
              <w:jc w:val="left"/>
            </w:pPr>
            <w:r>
              <w:rPr>
                <w:rStyle w:val="VerbatimChar"/>
              </w:rPr>
              <w:t xml:space="preserve">witness-2-primary</w:t>
            </w:r>
          </w:p>
        </w:tc>
      </w:tr>
      <w:tr>
        <w:tc>
          <w:tcPr/>
          <w:p>
            <w:pPr>
              <w:pStyle w:val="Compact"/>
              <w:jc w:val="left"/>
            </w:pPr>
            <w:r>
              <w:t xml:space="preserve">Nonce construction</w:t>
            </w:r>
          </w:p>
        </w:tc>
        <w:tc>
          <w:tcPr/>
          <w:p>
            <w:pPr>
              <w:pStyle w:val="Compact"/>
              <w:jc w:val="left"/>
            </w:pPr>
            <w:r>
              <w:t xml:space="preserve">Length-prefixed (LP) SHA-256, v2</w:t>
            </w:r>
          </w:p>
        </w:tc>
      </w:tr>
      <w:tr>
        <w:tc>
          <w:tcPr/>
          <w:p>
            <w:pPr>
              <w:pStyle w:val="Compact"/>
              <w:jc w:val="left"/>
            </w:pPr>
            <w:r>
              <w:t xml:space="preserve">CP1 PR</w:t>
            </w:r>
          </w:p>
        </w:tc>
        <w:tc>
          <w:tcPr/>
          <w:p>
            <w:pPr>
              <w:pStyle w:val="Compact"/>
              <w:jc w:val="left"/>
            </w:pPr>
            <w:r>
              <w:t xml:space="preserve">#3 (merged SHA c2d9b3b before QPU submission)</w:t>
            </w:r>
          </w:p>
        </w:tc>
      </w:tr>
      <w:tr>
        <w:tc>
          <w:tcPr/>
          <w:p>
            <w:pPr>
              <w:pStyle w:val="Compact"/>
              <w:jc w:val="left"/>
            </w:pPr>
            <w:r>
              <w:t xml:space="preserve">FIX-1 commit</w:t>
            </w:r>
          </w:p>
        </w:tc>
        <w:tc>
          <w:tcPr/>
          <w:p>
            <w:pPr>
              <w:pStyle w:val="Compact"/>
              <w:jc w:val="left"/>
            </w:pPr>
            <w:r>
              <w:t xml:space="preserve">8ae73bf (service.least_busy → min(pending_jobs))</w:t>
            </w:r>
          </w:p>
        </w:tc>
      </w:tr>
      <w:tr>
        <w:tc>
          <w:tcPr/>
          <w:p>
            <w:pPr>
              <w:pStyle w:val="Compact"/>
              <w:jc w:val="left"/>
            </w:pPr>
            <w:r>
              <w:t xml:space="preserve">FIX-2 commit</w:t>
            </w:r>
          </w:p>
        </w:tc>
        <w:tc>
          <w:tcPr/>
          <w:p>
            <w:pPr>
              <w:pStyle w:val="Compact"/>
              <w:jc w:val="left"/>
            </w:pPr>
            <w:r>
              <w:t xml:space="preserve">2b6cbc5 (ISA transpilation via qiskit.transpile)</w:t>
            </w:r>
          </w:p>
        </w:tc>
      </w:tr>
    </w:tbl>
    <w:p>
      <w:r>
        <w:pict>
          <v:rect style="width:0;height:1.5pt" o:hralign="center" o:hrstd="t" o:hr="t"/>
        </w:pict>
      </w:r>
    </w:p>
    <w:bookmarkEnd w:id="22"/>
    <w:bookmarkStart w:id="23" w:name="harness-fixes-disclosed-pre-execution"/>
    <w:p>
      <w:pPr>
        <w:pStyle w:val="Heading2"/>
      </w:pPr>
      <w:r>
        <w:t xml:space="preserve">3. Harness Fixes (Disclosed, Pre-Execution)</w:t>
      </w:r>
    </w:p>
    <w:p>
      <w:pPr>
        <w:pStyle w:val="FirstParagraph"/>
      </w:pPr>
      <w:r>
        <w:rPr>
          <w:bCs/>
          <w:b/>
        </w:rPr>
        <w:t xml:space="preserve">FIX-1 (commit 8ae73bf):</w:t>
      </w:r>
      <w:r>
        <w:br/>
      </w:r>
      <w:r>
        <w:rPr>
          <w:rStyle w:val="VerbatimChar"/>
        </w:rPr>
        <w:t xml:space="preserve">service.least_busy(backend_list)</w:t>
      </w:r>
      <w:r>
        <w:t xml:space="preserve"> </w:t>
      </w:r>
      <w:r>
        <w:t xml:space="preserve">raises</w:t>
      </w:r>
      <w:r>
        <w:t xml:space="preserve"> </w:t>
      </w:r>
      <w:r>
        <w:rPr>
          <w:rStyle w:val="VerbatimChar"/>
        </w:rPr>
        <w:t xml:space="preserve">TypeError</w:t>
      </w:r>
      <w:r>
        <w:t xml:space="preserve"> </w:t>
      </w:r>
      <w:r>
        <w:t xml:space="preserve">in qiskit-ibm-runtime 0.48.0 when the internal</w:t>
      </w:r>
      <w:r>
        <w:t xml:space="preserve"> </w:t>
      </w:r>
      <w:r>
        <w:rPr>
          <w:rStyle w:val="VerbatimChar"/>
        </w:rPr>
        <w:t xml:space="preserve">qubits</w:t>
      </w:r>
      <w:r>
        <w:t xml:space="preserve"> </w:t>
      </w:r>
      <w:r>
        <w:t xml:space="preserve">field is a list not an int. Fixed by replacing with</w:t>
      </w:r>
      <w:r>
        <w:t xml:space="preserve"> </w:t>
      </w:r>
      <w:r>
        <w:rPr>
          <w:rStyle w:val="VerbatimChar"/>
        </w:rPr>
        <w:t xml:space="preserve">min(eligible, key=lambda b: b.status().pending_jobs)</w:t>
      </w:r>
      <w:r>
        <w:t xml:space="preserve">. Fix does NOT touch circuit, shots, cases, criteria, or decision procedure. MANIFEST.sha256 recomputed and recommitted.</w:t>
      </w:r>
    </w:p>
    <w:p>
      <w:pPr>
        <w:pStyle w:val="BodyText"/>
      </w:pPr>
      <w:r>
        <w:rPr>
          <w:bCs/>
          <w:b/>
        </w:rPr>
        <w:t xml:space="preserve">FIX-2 (commit 2b6cbc5):</w:t>
      </w:r>
      <w:r>
        <w:br/>
      </w:r>
      <w:r>
        <w:t xml:space="preserve">IBM Quantum API rejects non-ISA circuits as of March 2024. The H gate is not native to ibm_fez’s gate set. Added</w:t>
      </w:r>
      <w:r>
        <w:t xml:space="preserve"> </w:t>
      </w:r>
      <w:r>
        <w:rPr>
          <w:rStyle w:val="VerbatimChar"/>
        </w:rPr>
        <w:t xml:space="preserve">transpile(qc, backend=backend, optimization_level=1)</w:t>
      </w:r>
      <w:r>
        <w:t xml:space="preserve"> </w:t>
      </w:r>
      <w:r>
        <w:t xml:space="preserve">before submission. Logical circuit (uniform 8-qubit H + measure_all) is unchanged — only gate representation (H → RZ/SX) differs. MANIFEST.sha256 recomputed and recommitted.</w:t>
      </w:r>
    </w:p>
    <w:p>
      <w:pPr>
        <w:pStyle w:val="BodyText"/>
      </w:pPr>
      <w:r>
        <w:t xml:space="preserve">Both fixes consistent with ARK-451 / WITNESS-1 harness-fix precedent.</w:t>
      </w:r>
    </w:p>
    <w:p>
      <w:r>
        <w:pict>
          <v:rect style="width:0;height:1.5pt" o:hralign="center" o:hrstd="t" o:hr="t"/>
        </w:pict>
      </w:r>
    </w:p>
    <w:bookmarkEnd w:id="23"/>
    <w:bookmarkStart w:id="25" w:name="qpu-execution"/>
    <w:p>
      <w:pPr>
        <w:pStyle w:val="Heading2"/>
      </w:pPr>
      <w:r>
        <w:t xml:space="preserve">4. QPU Execution</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Job ID</w:t>
            </w:r>
          </w:p>
        </w:tc>
        <w:tc>
          <w:tcPr/>
          <w:p>
            <w:pPr>
              <w:pStyle w:val="Compact"/>
              <w:jc w:val="left"/>
            </w:pPr>
            <w:r>
              <w:rPr>
                <w:rStyle w:val="VerbatimChar"/>
              </w:rPr>
              <w:t xml:space="preserve">d9di7nkinv1c73ap4ed0</w:t>
            </w:r>
          </w:p>
        </w:tc>
      </w:tr>
      <w:tr>
        <w:tc>
          <w:tcPr/>
          <w:p>
            <w:pPr>
              <w:pStyle w:val="Compact"/>
              <w:jc w:val="left"/>
            </w:pPr>
            <w:r>
              <w:t xml:space="preserve">Backend</w:t>
            </w:r>
          </w:p>
        </w:tc>
        <w:tc>
          <w:tcPr/>
          <w:p>
            <w:pPr>
              <w:pStyle w:val="Compact"/>
              <w:jc w:val="left"/>
            </w:pPr>
            <w:r>
              <w:rPr>
                <w:rStyle w:val="VerbatimChar"/>
              </w:rPr>
              <w:t xml:space="preserve">ibm_fez</w:t>
            </w:r>
          </w:p>
        </w:tc>
      </w:tr>
      <w:tr>
        <w:tc>
          <w:tcPr/>
          <w:p>
            <w:pPr>
              <w:pStyle w:val="Compact"/>
              <w:jc w:val="left"/>
            </w:pPr>
            <w:r>
              <w:t xml:space="preserve">Provider instance</w:t>
            </w:r>
          </w:p>
        </w:tc>
        <w:tc>
          <w:tcPr/>
          <w:p>
            <w:pPr>
              <w:pStyle w:val="Compact"/>
              <w:jc w:val="left"/>
            </w:pPr>
            <w:r>
              <w:rPr>
                <w:rStyle w:val="VerbatimChar"/>
              </w:rPr>
              <w:t xml:space="preserve">crn:v1:bluemix:public:quantum-computing:us-east:a/074ad0b4119241ee8fd51258f35aa4a6:97957880-e0cc-4c0e-a07e-f9b8f2da3be4::</w:t>
            </w:r>
          </w:p>
        </w:tc>
      </w:tr>
      <w:tr>
        <w:tc>
          <w:tcPr/>
          <w:p>
            <w:pPr>
              <w:pStyle w:val="Compact"/>
              <w:jc w:val="left"/>
            </w:pPr>
            <w:r>
              <w:t xml:space="preserve">Channel</w:t>
            </w:r>
          </w:p>
        </w:tc>
        <w:tc>
          <w:tcPr/>
          <w:p>
            <w:pPr>
              <w:pStyle w:val="Compact"/>
              <w:jc w:val="left"/>
            </w:pPr>
            <w:r>
              <w:rPr>
                <w:rStyle w:val="VerbatimChar"/>
              </w:rPr>
              <w:t xml:space="preserve">ibm_quantum_platform</w:t>
            </w:r>
          </w:p>
        </w:tc>
      </w:tr>
      <w:tr>
        <w:tc>
          <w:tcPr/>
          <w:p>
            <w:pPr>
              <w:pStyle w:val="Compact"/>
              <w:jc w:val="left"/>
            </w:pPr>
            <w:r>
              <w:t xml:space="preserve">Execution mode</w:t>
            </w:r>
          </w:p>
        </w:tc>
        <w:tc>
          <w:tcPr/>
          <w:p>
            <w:pPr>
              <w:pStyle w:val="Compact"/>
              <w:jc w:val="left"/>
            </w:pPr>
            <w:r>
              <w:rPr>
                <w:rStyle w:val="VerbatimChar"/>
              </w:rPr>
              <w:t xml:space="preserve">Batch</w:t>
            </w:r>
          </w:p>
        </w:tc>
      </w:tr>
      <w:tr>
        <w:tc>
          <w:tcPr/>
          <w:p>
            <w:pPr>
              <w:pStyle w:val="Compact"/>
              <w:jc w:val="left"/>
            </w:pPr>
            <w:r>
              <w:t xml:space="preserve">Qubits</w:t>
            </w:r>
          </w:p>
        </w:tc>
        <w:tc>
          <w:tcPr/>
          <w:p>
            <w:pPr>
              <w:pStyle w:val="Compact"/>
              <w:jc w:val="left"/>
            </w:pPr>
            <w:r>
              <w:t xml:space="preserve">8</w:t>
            </w:r>
          </w:p>
        </w:tc>
      </w:tr>
      <w:tr>
        <w:tc>
          <w:tcPr/>
          <w:p>
            <w:pPr>
              <w:pStyle w:val="Compact"/>
              <w:jc w:val="left"/>
            </w:pPr>
            <w:r>
              <w:t xml:space="preserve">Shots</w:t>
            </w:r>
          </w:p>
        </w:tc>
        <w:tc>
          <w:tcPr/>
          <w:p>
            <w:pPr>
              <w:pStyle w:val="Compact"/>
              <w:jc w:val="left"/>
            </w:pPr>
            <w:r>
              <w:t xml:space="preserve">4000</w:t>
            </w:r>
          </w:p>
        </w:tc>
      </w:tr>
      <w:tr>
        <w:tc>
          <w:tcPr/>
          <w:p>
            <w:pPr>
              <w:pStyle w:val="Compact"/>
              <w:jc w:val="left"/>
            </w:pPr>
            <w:r>
              <w:t xml:space="preserve">Unique outcomes</w:t>
            </w:r>
          </w:p>
        </w:tc>
        <w:tc>
          <w:tcPr/>
          <w:p>
            <w:pPr>
              <w:pStyle w:val="Compact"/>
              <w:jc w:val="left"/>
            </w:pPr>
            <w:r>
              <w:t xml:space="preserve">256 (= 2⁸; full basis coverage)</w:t>
            </w:r>
          </w:p>
        </w:tc>
      </w:tr>
      <w:tr>
        <w:tc>
          <w:tcPr/>
          <w:p>
            <w:pPr>
              <w:pStyle w:val="Compact"/>
              <w:jc w:val="left"/>
            </w:pPr>
            <w:r>
              <w:t xml:space="preserve">Selection time (UTC)</w:t>
            </w:r>
          </w:p>
        </w:tc>
        <w:tc>
          <w:tcPr/>
          <w:p>
            <w:pPr>
              <w:pStyle w:val="Compact"/>
              <w:jc w:val="left"/>
            </w:pPr>
            <w:r>
              <w:t xml:space="preserve">2026-07-18T06:57:29Z</w:t>
            </w:r>
          </w:p>
        </w:tc>
      </w:tr>
      <w:tr>
        <w:tc>
          <w:tcPr/>
          <w:p>
            <w:pPr>
              <w:pStyle w:val="Compact"/>
              <w:jc w:val="left"/>
            </w:pPr>
            <w:r>
              <w:t xml:space="preserve">Submission time (UTC)</w:t>
            </w:r>
          </w:p>
        </w:tc>
        <w:tc>
          <w:tcPr/>
          <w:p>
            <w:pPr>
              <w:pStyle w:val="Compact"/>
              <w:jc w:val="left"/>
            </w:pPr>
            <w:r>
              <w:t xml:space="preserve">2026-07-18T06:57:33Z</w:t>
            </w:r>
          </w:p>
        </w:tc>
      </w:tr>
      <w:tr>
        <w:tc>
          <w:tcPr/>
          <w:p>
            <w:pPr>
              <w:pStyle w:val="Compact"/>
              <w:jc w:val="left"/>
            </w:pPr>
            <w:r>
              <w:t xml:space="preserve">ISA circuit depth</w:t>
            </w:r>
          </w:p>
        </w:tc>
        <w:tc>
          <w:tcPr/>
          <w:p>
            <w:pPr>
              <w:pStyle w:val="Compact"/>
              <w:jc w:val="left"/>
            </w:pPr>
            <w:r>
              <w:t xml:space="preserve">4</w:t>
            </w:r>
          </w:p>
        </w:tc>
      </w:tr>
      <w:tr>
        <w:tc>
          <w:tcPr/>
          <w:p>
            <w:pPr>
              <w:pStyle w:val="Compact"/>
              <w:jc w:val="left"/>
            </w:pPr>
            <w:r>
              <w:t xml:space="preserve">ISA circuit ops</w:t>
            </w:r>
          </w:p>
        </w:tc>
        <w:tc>
          <w:tcPr/>
          <w:p>
            <w:pPr>
              <w:pStyle w:val="Compact"/>
              <w:jc w:val="left"/>
            </w:pPr>
            <w:r>
              <w:t xml:space="preserve">RZ×16, SX×8, Measure×8, Barrier×1</w:t>
            </w:r>
          </w:p>
        </w:tc>
      </w:tr>
    </w:tbl>
    <w:bookmarkStart w:id="24" w:name="backend-calibration-at-execution"/>
    <w:p>
      <w:pPr>
        <w:pStyle w:val="Heading3"/>
      </w:pPr>
      <w:r>
        <w:t xml:space="preserve">Backend Calibration (at execution)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Qubit</w:t>
            </w:r>
          </w:p>
        </w:tc>
        <w:tc>
          <w:tcPr/>
          <w:p>
            <w:pPr>
              <w:pStyle w:val="Compact"/>
              <w:jc w:val="left"/>
            </w:pPr>
            <w:r>
              <w:t xml:space="preserve">Readout Error</w:t>
            </w:r>
          </w:p>
        </w:tc>
        <w:tc>
          <w:tcPr/>
          <w:p>
            <w:pPr>
              <w:pStyle w:val="Compact"/>
              <w:jc w:val="left"/>
            </w:pPr>
            <w:r>
              <w:t xml:space="preserve">T1 (μs)</w:t>
            </w:r>
          </w:p>
        </w:tc>
        <w:tc>
          <w:tcPr/>
          <w:p>
            <w:pPr>
              <w:pStyle w:val="Compact"/>
              <w:jc w:val="left"/>
            </w:pPr>
            <w:r>
              <w:t xml:space="preserve">T2 (μs)</w:t>
            </w:r>
          </w:p>
        </w:tc>
      </w:tr>
      <w:tr>
        <w:tc>
          <w:tcPr/>
          <w:p>
            <w:pPr>
              <w:pStyle w:val="Compact"/>
              <w:jc w:val="left"/>
            </w:pPr>
            <w:r>
              <w:t xml:space="preserve">0</w:t>
            </w:r>
          </w:p>
        </w:tc>
        <w:tc>
          <w:tcPr/>
          <w:p>
            <w:pPr>
              <w:pStyle w:val="Compact"/>
              <w:jc w:val="left"/>
            </w:pPr>
            <w:r>
              <w:t xml:space="preserve">1.221%</w:t>
            </w:r>
          </w:p>
        </w:tc>
        <w:tc>
          <w:tcPr/>
          <w:p>
            <w:pPr>
              <w:pStyle w:val="Compact"/>
              <w:jc w:val="left"/>
            </w:pPr>
            <w:r>
              <w:t xml:space="preserve">39.1</w:t>
            </w:r>
          </w:p>
        </w:tc>
        <w:tc>
          <w:tcPr/>
          <w:p>
            <w:pPr>
              <w:pStyle w:val="Compact"/>
              <w:jc w:val="left"/>
            </w:pPr>
            <w:r>
              <w:t xml:space="preserve">20.2</w:t>
            </w:r>
          </w:p>
        </w:tc>
      </w:tr>
      <w:tr>
        <w:tc>
          <w:tcPr/>
          <w:p>
            <w:pPr>
              <w:pStyle w:val="Compact"/>
              <w:jc w:val="left"/>
            </w:pPr>
            <w:r>
              <w:t xml:space="preserve">1</w:t>
            </w:r>
          </w:p>
        </w:tc>
        <w:tc>
          <w:tcPr/>
          <w:p>
            <w:pPr>
              <w:pStyle w:val="Compact"/>
              <w:jc w:val="left"/>
            </w:pPr>
            <w:r>
              <w:t xml:space="preserve">1.501%</w:t>
            </w:r>
          </w:p>
        </w:tc>
        <w:tc>
          <w:tcPr/>
          <w:p>
            <w:pPr>
              <w:pStyle w:val="Compact"/>
              <w:jc w:val="left"/>
            </w:pPr>
            <w:r>
              <w:t xml:space="preserve">101.7</w:t>
            </w:r>
          </w:p>
        </w:tc>
        <w:tc>
          <w:tcPr/>
          <w:p>
            <w:pPr>
              <w:pStyle w:val="Compact"/>
              <w:jc w:val="left"/>
            </w:pPr>
            <w:r>
              <w:t xml:space="preserve">110.7</w:t>
            </w:r>
          </w:p>
        </w:tc>
      </w:tr>
      <w:tr>
        <w:tc>
          <w:tcPr/>
          <w:p>
            <w:pPr>
              <w:pStyle w:val="Compact"/>
              <w:jc w:val="left"/>
            </w:pPr>
            <w:r>
              <w:t xml:space="preserve">2</w:t>
            </w:r>
          </w:p>
        </w:tc>
        <w:tc>
          <w:tcPr/>
          <w:p>
            <w:pPr>
              <w:pStyle w:val="Compact"/>
              <w:jc w:val="left"/>
            </w:pPr>
            <w:r>
              <w:t xml:space="preserve">0.342%</w:t>
            </w:r>
          </w:p>
        </w:tc>
        <w:tc>
          <w:tcPr/>
          <w:p>
            <w:pPr>
              <w:pStyle w:val="Compact"/>
              <w:jc w:val="left"/>
            </w:pPr>
            <w:r>
              <w:t xml:space="preserve">180.0</w:t>
            </w:r>
          </w:p>
        </w:tc>
        <w:tc>
          <w:tcPr/>
          <w:p>
            <w:pPr>
              <w:pStyle w:val="Compact"/>
              <w:jc w:val="left"/>
            </w:pPr>
            <w:r>
              <w:t xml:space="preserve">155.9</w:t>
            </w:r>
          </w:p>
        </w:tc>
      </w:tr>
      <w:tr>
        <w:tc>
          <w:tcPr/>
          <w:p>
            <w:pPr>
              <w:pStyle w:val="Compact"/>
              <w:jc w:val="left"/>
            </w:pPr>
            <w:r>
              <w:t xml:space="preserve">3</w:t>
            </w:r>
          </w:p>
        </w:tc>
        <w:tc>
          <w:tcPr/>
          <w:p>
            <w:pPr>
              <w:pStyle w:val="Compact"/>
              <w:jc w:val="left"/>
            </w:pPr>
            <w:r>
              <w:t xml:space="preserve">1.819%</w:t>
            </w:r>
          </w:p>
        </w:tc>
        <w:tc>
          <w:tcPr/>
          <w:p>
            <w:pPr>
              <w:pStyle w:val="Compact"/>
              <w:jc w:val="left"/>
            </w:pPr>
            <w:r>
              <w:t xml:space="preserve">181.1</w:t>
            </w:r>
          </w:p>
        </w:tc>
        <w:tc>
          <w:tcPr/>
          <w:p>
            <w:pPr>
              <w:pStyle w:val="Compact"/>
              <w:jc w:val="left"/>
            </w:pPr>
            <w:r>
              <w:t xml:space="preserve">196.5</w:t>
            </w:r>
          </w:p>
        </w:tc>
      </w:tr>
      <w:tr>
        <w:tc>
          <w:tcPr/>
          <w:p>
            <w:pPr>
              <w:pStyle w:val="Compact"/>
              <w:jc w:val="left"/>
            </w:pPr>
            <w:r>
              <w:t xml:space="preserve">4</w:t>
            </w:r>
          </w:p>
        </w:tc>
        <w:tc>
          <w:tcPr/>
          <w:p>
            <w:pPr>
              <w:pStyle w:val="Compact"/>
              <w:jc w:val="left"/>
            </w:pPr>
            <w:r>
              <w:t xml:space="preserve">0.562%</w:t>
            </w:r>
          </w:p>
        </w:tc>
        <w:tc>
          <w:tcPr/>
          <w:p>
            <w:pPr>
              <w:pStyle w:val="Compact"/>
              <w:jc w:val="left"/>
            </w:pPr>
            <w:r>
              <w:t xml:space="preserve">113.1</w:t>
            </w:r>
          </w:p>
        </w:tc>
        <w:tc>
          <w:tcPr/>
          <w:p>
            <w:pPr>
              <w:pStyle w:val="Compact"/>
              <w:jc w:val="left"/>
            </w:pPr>
            <w:r>
              <w:t xml:space="preserve">87.7</w:t>
            </w:r>
          </w:p>
        </w:tc>
      </w:tr>
      <w:tr>
        <w:tc>
          <w:tcPr/>
          <w:p>
            <w:pPr>
              <w:pStyle w:val="Compact"/>
              <w:jc w:val="left"/>
            </w:pPr>
            <w:r>
              <w:t xml:space="preserve">5</w:t>
            </w:r>
          </w:p>
        </w:tc>
        <w:tc>
          <w:tcPr/>
          <w:p>
            <w:pPr>
              <w:pStyle w:val="Compact"/>
              <w:jc w:val="left"/>
            </w:pPr>
            <w:r>
              <w:t xml:space="preserve">1.233%</w:t>
            </w:r>
          </w:p>
        </w:tc>
        <w:tc>
          <w:tcPr/>
          <w:p>
            <w:pPr>
              <w:pStyle w:val="Compact"/>
              <w:jc w:val="left"/>
            </w:pPr>
            <w:r>
              <w:t xml:space="preserve">132.1</w:t>
            </w:r>
          </w:p>
        </w:tc>
        <w:tc>
          <w:tcPr/>
          <w:p>
            <w:pPr>
              <w:pStyle w:val="Compact"/>
              <w:jc w:val="left"/>
            </w:pPr>
            <w:r>
              <w:t xml:space="preserve">111.7</w:t>
            </w:r>
          </w:p>
        </w:tc>
      </w:tr>
      <w:tr>
        <w:tc>
          <w:tcPr/>
          <w:p>
            <w:pPr>
              <w:pStyle w:val="Compact"/>
              <w:jc w:val="left"/>
            </w:pPr>
            <w:r>
              <w:t xml:space="preserve">6</w:t>
            </w:r>
          </w:p>
        </w:tc>
        <w:tc>
          <w:tcPr/>
          <w:p>
            <w:pPr>
              <w:pStyle w:val="Compact"/>
              <w:jc w:val="left"/>
            </w:pPr>
            <w:r>
              <w:t xml:space="preserve">0.525%</w:t>
            </w:r>
          </w:p>
        </w:tc>
        <w:tc>
          <w:tcPr/>
          <w:p>
            <w:pPr>
              <w:pStyle w:val="Compact"/>
              <w:jc w:val="left"/>
            </w:pPr>
            <w:r>
              <w:t xml:space="preserve">206.9</w:t>
            </w:r>
          </w:p>
        </w:tc>
        <w:tc>
          <w:tcPr/>
          <w:p>
            <w:pPr>
              <w:pStyle w:val="Compact"/>
              <w:jc w:val="left"/>
            </w:pPr>
            <w:r>
              <w:t xml:space="preserve">144.9</w:t>
            </w:r>
          </w:p>
        </w:tc>
      </w:tr>
      <w:tr>
        <w:tc>
          <w:tcPr/>
          <w:p>
            <w:pPr>
              <w:pStyle w:val="Compact"/>
              <w:jc w:val="left"/>
            </w:pPr>
            <w:r>
              <w:t xml:space="preserve">7</w:t>
            </w:r>
          </w:p>
        </w:tc>
        <w:tc>
          <w:tcPr/>
          <w:p>
            <w:pPr>
              <w:pStyle w:val="Compact"/>
              <w:jc w:val="left"/>
            </w:pPr>
            <w:r>
              <w:t xml:space="preserve">1.392%</w:t>
            </w:r>
          </w:p>
        </w:tc>
        <w:tc>
          <w:tcPr/>
          <w:p>
            <w:pPr>
              <w:pStyle w:val="Compact"/>
              <w:jc w:val="left"/>
            </w:pPr>
            <w:r>
              <w:t xml:space="preserve">118.8</w:t>
            </w:r>
          </w:p>
        </w:tc>
        <w:tc>
          <w:tcPr/>
          <w:p>
            <w:pPr>
              <w:pStyle w:val="Compact"/>
              <w:jc w:val="left"/>
            </w:pPr>
            <w:r>
              <w:t xml:space="preserve">40.1</w:t>
            </w:r>
          </w:p>
        </w:tc>
      </w:tr>
    </w:tbl>
    <w:p>
      <w:pPr>
        <w:pStyle w:val="BodyText"/>
      </w:pPr>
      <w:r>
        <w:t xml:space="preserve">Backend version: 1.3.37. Calibration captured before submission.</w:t>
      </w:r>
    </w:p>
    <w:p>
      <w:r>
        <w:pict>
          <v:rect style="width:0;height:1.5pt" o:hralign="center" o:hrstd="t" o:hr="t"/>
        </w:pict>
      </w:r>
    </w:p>
    <w:bookmarkEnd w:id="24"/>
    <w:bookmarkEnd w:id="25"/>
    <w:bookmarkStart w:id="26" w:name="proofrecord"/>
    <w:p>
      <w:pPr>
        <w:pStyle w:val="Heading2"/>
      </w:pPr>
      <w:r>
        <w:t xml:space="preserve">5. ProofRecord</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"witness-proofrecord-1.0"</w:t>
      </w:r>
      <w:r>
        <w:rPr>
          <w:rStyle w:val="FunctionTok"/>
        </w:rPr>
        <w:t xml:space="preserve">,</w:t>
      </w:r>
      <w:r>
        <w:br/>
      </w:r>
      <w:r>
        <w:rPr>
          <w:rStyle w:val="NormalTok"/>
        </w:rPr>
        <w:t xml:space="preserve">  </w:t>
      </w:r>
      <w:r>
        <w:rPr>
          <w:rStyle w:val="DataTypeTok"/>
        </w:rPr>
        <w:t xml:space="preserve">"quantum_nonce"</w:t>
      </w:r>
      <w:r>
        <w:rPr>
          <w:rStyle w:val="FunctionTok"/>
        </w:rPr>
        <w:t xml:space="preserve">:</w:t>
      </w:r>
      <w:r>
        <w:rPr>
          <w:rStyle w:val="NormalTok"/>
        </w:rPr>
        <w:t xml:space="preserve"> </w:t>
      </w:r>
      <w:r>
        <w:rPr>
          <w:rStyle w:val="StringTok"/>
        </w:rPr>
        <w:t xml:space="preserve">"e425dc92c028b344f3f8f46b9c269bf9f8696f87e6b0085d46fad7452770659b"</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"d9di7nkinv1c73ap4ed0"</w:t>
      </w:r>
      <w:r>
        <w:rPr>
          <w:rStyle w:val="FunctionTok"/>
        </w:rPr>
        <w:t xml:space="preserve">,</w:t>
      </w:r>
      <w:r>
        <w:br/>
      </w:r>
      <w:r>
        <w:rPr>
          <w:rStyle w:val="NormalTok"/>
        </w:rPr>
        <w:t xml:space="preserve">  </w:t>
      </w:r>
      <w:r>
        <w:rPr>
          <w:rStyle w:val="DataTypeTok"/>
        </w:rPr>
        <w:t xml:space="preserve">"backend"</w:t>
      </w:r>
      <w:r>
        <w:rPr>
          <w:rStyle w:val="FunctionTok"/>
        </w:rPr>
        <w:t xml:space="preserve">:</w:t>
      </w:r>
      <w:r>
        <w:rPr>
          <w:rStyle w:val="NormalTok"/>
        </w:rPr>
        <w:t xml:space="preserve"> </w:t>
      </w:r>
      <w:r>
        <w:rPr>
          <w:rStyle w:val="StringTok"/>
        </w:rPr>
        <w:t xml:space="preserve">"ibm_fez"</w:t>
      </w:r>
      <w:r>
        <w:rPr>
          <w:rStyle w:val="FunctionTok"/>
        </w:rPr>
        <w:t xml:space="preserve">,</w:t>
      </w:r>
      <w:r>
        <w:br/>
      </w:r>
      <w:r>
        <w:rPr>
          <w:rStyle w:val="NormalTok"/>
        </w:rPr>
        <w:t xml:space="preserve">  </w:t>
      </w:r>
      <w:r>
        <w:rPr>
          <w:rStyle w:val="DataTypeTok"/>
        </w:rPr>
        <w:t xml:space="preserve">"provider_instance"</w:t>
      </w:r>
      <w:r>
        <w:rPr>
          <w:rStyle w:val="FunctionTok"/>
        </w:rPr>
        <w:t xml:space="preserve">:</w:t>
      </w:r>
      <w:r>
        <w:rPr>
          <w:rStyle w:val="NormalTok"/>
        </w:rPr>
        <w:t xml:space="preserve"> </w:t>
      </w:r>
      <w:r>
        <w:rPr>
          <w:rStyle w:val="StringTok"/>
        </w:rPr>
        <w:t xml:space="preserve">"crn:v1:bluemix:public:quantum-computing:us-east:a/074ad0b4119241ee8fd51258f35aa4a6:97957880-e0cc-4c0e-a07e-f9b8f2da3be4::"</w:t>
      </w:r>
      <w:r>
        <w:rPr>
          <w:rStyle w:val="FunctionTok"/>
        </w:rPr>
        <w:t xml:space="preserve">,</w:t>
      </w:r>
      <w:r>
        <w:br/>
      </w:r>
      <w:r>
        <w:rPr>
          <w:rStyle w:val="NormalTok"/>
        </w:rPr>
        <w:t xml:space="preserve">  </w:t>
      </w:r>
      <w:r>
        <w:rPr>
          <w:rStyle w:val="DataTypeTok"/>
        </w:rPr>
        <w:t xml:space="preserve">"calibration_hash"</w:t>
      </w:r>
      <w:r>
        <w:rPr>
          <w:rStyle w:val="FunctionTok"/>
        </w:rPr>
        <w:t xml:space="preserve">:</w:t>
      </w:r>
      <w:r>
        <w:rPr>
          <w:rStyle w:val="NormalTok"/>
        </w:rPr>
        <w:t xml:space="preserve"> </w:t>
      </w:r>
      <w:r>
        <w:rPr>
          <w:rStyle w:val="StringTok"/>
        </w:rPr>
        <w:t xml:space="preserve">"1ab5ef208c90ab60ed039c738374c5f51bcc49e2557a3151c23873a4ee1c4f3f"</w:t>
      </w:r>
      <w:r>
        <w:rPr>
          <w:rStyle w:val="FunctionTok"/>
        </w:rPr>
        <w:t xml:space="preserve">,</w:t>
      </w:r>
      <w:r>
        <w:br/>
      </w:r>
      <w:r>
        <w:rPr>
          <w:rStyle w:val="NormalTok"/>
        </w:rPr>
        <w:t xml:space="preserve">  </w:t>
      </w:r>
      <w:r>
        <w:rPr>
          <w:rStyle w:val="DataTypeTok"/>
        </w:rPr>
        <w:t xml:space="preserve">"raw_counts_hash"</w:t>
      </w:r>
      <w:r>
        <w:rPr>
          <w:rStyle w:val="FunctionTok"/>
        </w:rPr>
        <w:t xml:space="preserve">:</w:t>
      </w:r>
      <w:r>
        <w:rPr>
          <w:rStyle w:val="NormalTok"/>
        </w:rPr>
        <w:t xml:space="preserve"> </w:t>
      </w:r>
      <w:r>
        <w:rPr>
          <w:rStyle w:val="StringTok"/>
        </w:rPr>
        <w:t xml:space="preserve">"97bfe36ea8815599d8b11bdbb9ed9cfc0f0946dbf43961e12fe1c42fe1adbcef"</w:t>
      </w:r>
      <w:r>
        <w:rPr>
          <w:rStyle w:val="FunctionTok"/>
        </w:rPr>
        <w:t xml:space="preserve">,</w:t>
      </w:r>
      <w:r>
        <w:br/>
      </w:r>
      <w:r>
        <w:rPr>
          <w:rStyle w:val="NormalTok"/>
        </w:rPr>
        <w:t xml:space="preserve">  </w:t>
      </w:r>
      <w:r>
        <w:rPr>
          <w:rStyle w:val="DataTypeTok"/>
        </w:rPr>
        <w:t xml:space="preserve">"context_id"</w:t>
      </w:r>
      <w:r>
        <w:rPr>
          <w:rStyle w:val="FunctionTok"/>
        </w:rPr>
        <w:t xml:space="preserve">:</w:t>
      </w:r>
      <w:r>
        <w:rPr>
          <w:rStyle w:val="NormalTok"/>
        </w:rPr>
        <w:t xml:space="preserve"> </w:t>
      </w:r>
      <w:r>
        <w:rPr>
          <w:rStyle w:val="StringTok"/>
        </w:rPr>
        <w:t xml:space="preserve">"witness-2-primary"</w:t>
      </w:r>
      <w:r>
        <w:rPr>
          <w:rStyle w:val="FunctionTok"/>
        </w:rPr>
        <w:t xml:space="preserve">,</w:t>
      </w:r>
      <w:r>
        <w:br/>
      </w:r>
      <w:r>
        <w:rPr>
          <w:rStyle w:val="NormalTok"/>
        </w:rPr>
        <w:t xml:space="preserve">  </w:t>
      </w:r>
      <w:r>
        <w:rPr>
          <w:rStyle w:val="DataTypeTok"/>
        </w:rPr>
        <w:t xml:space="preserve">"timestamp_utc"</w:t>
      </w:r>
      <w:r>
        <w:rPr>
          <w:rStyle w:val="FunctionTok"/>
        </w:rPr>
        <w:t xml:space="preserve">:</w:t>
      </w:r>
      <w:r>
        <w:rPr>
          <w:rStyle w:val="NormalTok"/>
        </w:rPr>
        <w:t xml:space="preserve"> </w:t>
      </w:r>
      <w:r>
        <w:rPr>
          <w:rStyle w:val="StringTok"/>
        </w:rPr>
        <w:t xml:space="preserve">"2026-07-18T06:57:33Z"</w:t>
      </w:r>
      <w:r>
        <w:rPr>
          <w:rStyle w:val="FunctionTok"/>
        </w:rPr>
        <w:t xml:space="preserve">,</w:t>
      </w:r>
      <w:r>
        <w:br/>
      </w:r>
      <w:r>
        <w:rPr>
          <w:rStyle w:val="NormalTok"/>
        </w:rPr>
        <w:t xml:space="preserve">  </w:t>
      </w:r>
      <w:r>
        <w:rPr>
          <w:rStyle w:val="DataTypeTok"/>
        </w:rPr>
        <w:t xml:space="preserve">"record_hash"</w:t>
      </w:r>
      <w:r>
        <w:rPr>
          <w:rStyle w:val="FunctionTok"/>
        </w:rPr>
        <w:t xml:space="preserve">:</w:t>
      </w:r>
      <w:r>
        <w:rPr>
          <w:rStyle w:val="NormalTok"/>
        </w:rPr>
        <w:t xml:space="preserve"> </w:t>
      </w:r>
      <w:r>
        <w:rPr>
          <w:rStyle w:val="StringTok"/>
        </w:rPr>
        <w:t xml:space="preserve">"271ff5eae1fdfac85f6fd24ebd919a608804d6f1546a4ca9874f481ce5f97ae1"</w:t>
      </w:r>
      <w:r>
        <w:br/>
      </w:r>
      <w:r>
        <w:rPr>
          <w:rStyle w:val="FunctionTok"/>
        </w:rPr>
        <w:t xml:space="preserve">}</w:t>
      </w:r>
    </w:p>
    <w:p>
      <w:r>
        <w:pict>
          <v:rect style="width:0;height:1.5pt" o:hralign="center" o:hrstd="t" o:hr="t"/>
        </w:pict>
      </w:r>
    </w:p>
    <w:bookmarkEnd w:id="26"/>
    <w:bookmarkStart w:id="30" w:name="case-results"/>
    <w:p>
      <w:pPr>
        <w:pStyle w:val="Heading2"/>
      </w:pPr>
      <w:r>
        <w:t xml:space="preserve">6. Case Results</w:t>
      </w:r>
    </w:p>
    <w:bookmarkStart w:id="27" w:name="w2-c1-honest-end-to-end-verification"/>
    <w:p>
      <w:pPr>
        <w:pStyle w:val="Heading3"/>
      </w:pPr>
      <w:r>
        <w:t xml:space="preserve">W2-C1 — Honest End-to-End Verification</w:t>
      </w:r>
    </w:p>
    <w:p>
      <w:pPr>
        <w:pStyle w:val="FirstParagraph"/>
      </w:pPr>
      <w:r>
        <w:rPr>
          <w:bCs/>
          <w:b/>
        </w:rPr>
        <w:t xml:space="preserve">Verdict: PASS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record_hash_match</w:t>
            </w:r>
          </w:p>
        </w:tc>
        <w:tc>
          <w:tcPr/>
          <w:p>
            <w:pPr>
              <w:pStyle w:val="Compact"/>
              <w:jc w:val="left"/>
            </w:pPr>
            <w:r>
              <w:t xml:space="preserve">✅ true</w:t>
            </w:r>
          </w:p>
        </w:tc>
      </w:tr>
      <w:tr>
        <w:tc>
          <w:tcPr/>
          <w:p>
            <w:pPr>
              <w:pStyle w:val="Compact"/>
              <w:jc w:val="left"/>
            </w:pPr>
            <w:r>
              <w:t xml:space="preserve">quantum_nonce_match</w:t>
            </w:r>
          </w:p>
        </w:tc>
        <w:tc>
          <w:tcPr/>
          <w:p>
            <w:pPr>
              <w:pStyle w:val="Compact"/>
              <w:jc w:val="left"/>
            </w:pPr>
            <w:r>
              <w:t xml:space="preserve">✅ true</w:t>
            </w:r>
          </w:p>
        </w:tc>
      </w:tr>
      <w:tr>
        <w:tc>
          <w:tcPr/>
          <w:p>
            <w:pPr>
              <w:pStyle w:val="Compact"/>
              <w:jc w:val="left"/>
            </w:pPr>
            <w:r>
              <w:t xml:space="preserve">raw_counts_hash_match</w:t>
            </w:r>
          </w:p>
        </w:tc>
        <w:tc>
          <w:tcPr/>
          <w:p>
            <w:pPr>
              <w:pStyle w:val="Compact"/>
              <w:jc w:val="left"/>
            </w:pPr>
            <w:r>
              <w:t xml:space="preserve">✅ true</w:t>
            </w:r>
          </w:p>
        </w:tc>
      </w:tr>
      <w:tr>
        <w:tc>
          <w:tcPr/>
          <w:p>
            <w:pPr>
              <w:pStyle w:val="Compact"/>
              <w:jc w:val="left"/>
            </w:pPr>
            <w:r>
              <w:t xml:space="preserve">cal_hash_match</w:t>
            </w:r>
          </w:p>
        </w:tc>
        <w:tc>
          <w:tcPr/>
          <w:p>
            <w:pPr>
              <w:pStyle w:val="Compact"/>
              <w:jc w:val="left"/>
            </w:pPr>
            <w:r>
              <w:t xml:space="preserve">✅ true</w:t>
            </w:r>
          </w:p>
        </w:tc>
      </w:tr>
      <w:tr>
        <w:tc>
          <w:tcPr/>
          <w:p>
            <w:pPr>
              <w:pStyle w:val="Compact"/>
              <w:jc w:val="left"/>
            </w:pPr>
            <w:r>
              <w:t xml:space="preserve">schema_version_match</w:t>
            </w:r>
          </w:p>
        </w:tc>
        <w:tc>
          <w:tcPr/>
          <w:p>
            <w:pPr>
              <w:pStyle w:val="Compact"/>
              <w:jc w:val="left"/>
            </w:pPr>
            <w:r>
              <w:t xml:space="preserve">✅ true</w:t>
            </w:r>
          </w:p>
        </w:tc>
      </w:tr>
      <w:tr>
        <w:tc>
          <w:tcPr/>
          <w:p>
            <w:pPr>
              <w:pStyle w:val="Compact"/>
              <w:jc w:val="left"/>
            </w:pPr>
            <w:r>
              <w:t xml:space="preserve">context_id_present</w:t>
            </w:r>
          </w:p>
        </w:tc>
        <w:tc>
          <w:tcPr/>
          <w:p>
            <w:pPr>
              <w:pStyle w:val="Compact"/>
              <w:jc w:val="left"/>
            </w:pPr>
            <w:r>
              <w:t xml:space="preserve">✅ true</w:t>
            </w:r>
          </w:p>
        </w:tc>
      </w:tr>
      <w:tr>
        <w:tc>
          <w:tcPr/>
          <w:p>
            <w:pPr>
              <w:pStyle w:val="Compact"/>
              <w:jc w:val="left"/>
            </w:pPr>
            <w:r>
              <w:t xml:space="preserve">provider_instance_present</w:t>
            </w:r>
          </w:p>
        </w:tc>
        <w:tc>
          <w:tcPr/>
          <w:p>
            <w:pPr>
              <w:pStyle w:val="Compact"/>
              <w:jc w:val="left"/>
            </w:pPr>
            <w:r>
              <w:t xml:space="preserve">✅ true</w:t>
            </w:r>
          </w:p>
        </w:tc>
      </w:tr>
      <w:tr>
        <w:tc>
          <w:tcPr/>
          <w:p>
            <w:pPr>
              <w:pStyle w:val="Compact"/>
              <w:jc w:val="left"/>
            </w:pPr>
            <w:r>
              <w:t xml:space="preserve">provider_job_found</w:t>
            </w:r>
          </w:p>
        </w:tc>
        <w:tc>
          <w:tcPr/>
          <w:p>
            <w:pPr>
              <w:pStyle w:val="Compact"/>
              <w:jc w:val="left"/>
            </w:pPr>
            <w:r>
              <w:t xml:space="preserve">✅ true</w:t>
            </w:r>
          </w:p>
        </w:tc>
      </w:tr>
      <w:tr>
        <w:tc>
          <w:tcPr/>
          <w:p>
            <w:pPr>
              <w:pStyle w:val="Compact"/>
              <w:jc w:val="left"/>
            </w:pPr>
            <w:r>
              <w:t xml:space="preserve">provider_counts_match</w:t>
            </w:r>
          </w:p>
        </w:tc>
        <w:tc>
          <w:tcPr/>
          <w:p>
            <w:pPr>
              <w:pStyle w:val="Compact"/>
              <w:jc w:val="left"/>
            </w:pPr>
            <w:r>
              <w:t xml:space="preserve">✅ true</w:t>
            </w:r>
          </w:p>
        </w:tc>
      </w:tr>
    </w:tbl>
    <w:p>
      <w:pPr>
        <w:pStyle w:val="BodyText"/>
      </w:pPr>
      <w:r>
        <w:rPr>
          <w:bCs/>
          <w:b/>
        </w:rPr>
        <w:t xml:space="preserve">Provenance note:</w:t>
      </w:r>
      <w:r>
        <w:t xml:space="preserve"> </w:t>
      </w:r>
      <w:r>
        <w:t xml:space="preserve">Confirms stored job_id and counts match IBM provider API record at verification time. Does not confirm physical origin or quality of QPU randomness.</w:t>
      </w:r>
    </w:p>
    <w:p>
      <w:r>
        <w:pict>
          <v:rect style="width:0;height:1.5pt" o:hralign="center" o:hrstd="t" o:hr="t"/>
        </w:pict>
      </w:r>
    </w:p>
    <w:bookmarkEnd w:id="27"/>
    <w:bookmarkStart w:id="28" w:name="X434a8e2490c6ecf3bb8d111c39da4ea9e9b6068"/>
    <w:p>
      <w:pPr>
        <w:pStyle w:val="Heading3"/>
      </w:pPr>
      <w:r>
        <w:t xml:space="preserve">W2-C2 — Substitution / Tamper Detection (4 sub-trials)</w:t>
      </w:r>
    </w:p>
    <w:p>
      <w:pPr>
        <w:pStyle w:val="FirstParagraph"/>
      </w:pPr>
      <w:r>
        <w:rPr>
          <w:bCs/>
          <w:b/>
        </w:rPr>
        <w:t xml:space="preserve">Verdict: PASS</w:t>
      </w:r>
    </w:p>
    <w:tbl>
      <w:tblPr>
        <w:tblStyle w:val="Table"/>
        <w:tblW w:type="pct" w:w="5000"/>
        <w:tblLook w:firstRow="1" w:lastRow="0" w:firstColumn="0" w:lastColumn="0" w:noHBand="0" w:noVBand="0" w:val="0020"/>
      </w:tblPr>
      <w:tblGrid>
        <w:gridCol w:w="1613"/>
        <w:gridCol w:w="1906"/>
        <w:gridCol w:w="2493"/>
        <w:gridCol w:w="1906"/>
      </w:tblGrid>
      <w:tr>
        <w:trPr>
          <w:tblHeader w:val="true"/>
        </w:trPr>
        <w:tc>
          <w:tcPr/>
          <w:p>
            <w:pPr>
              <w:pStyle w:val="Compact"/>
              <w:jc w:val="left"/>
            </w:pPr>
            <w:r>
              <w:t xml:space="preserve">Sub-trial</w:t>
            </w:r>
          </w:p>
        </w:tc>
        <w:tc>
          <w:tcPr/>
          <w:p>
            <w:pPr>
              <w:pStyle w:val="Compact"/>
              <w:jc w:val="left"/>
            </w:pPr>
            <w:r>
              <w:t xml:space="preserve">Substitution</w:t>
            </w:r>
          </w:p>
        </w:tc>
        <w:tc>
          <w:tcPr/>
          <w:p>
            <w:pPr>
              <w:pStyle w:val="Compact"/>
              <w:jc w:val="left"/>
            </w:pPr>
            <w:r>
              <w:t xml:space="preserve">Detection Layer</w:t>
            </w:r>
          </w:p>
        </w:tc>
        <w:tc>
          <w:tcPr/>
          <w:p>
            <w:pPr>
              <w:pStyle w:val="Compact"/>
              <w:jc w:val="left"/>
            </w:pPr>
            <w:r>
              <w:t xml:space="preserve">Sub-verdict</w:t>
            </w:r>
          </w:p>
        </w:tc>
      </w:tr>
      <w:tr>
        <w:tc>
          <w:tcPr/>
          <w:p>
            <w:pPr>
              <w:pStyle w:val="Compact"/>
              <w:jc w:val="left"/>
            </w:pPr>
            <w:r>
              <w:t xml:space="preserve">a</w:t>
            </w:r>
          </w:p>
        </w:tc>
        <w:tc>
          <w:tcPr/>
          <w:p>
            <w:pPr>
              <w:pStyle w:val="Compact"/>
              <w:jc w:val="left"/>
            </w:pPr>
            <w:r>
              <w:t xml:space="preserve">raw_counts_altered</w:t>
            </w:r>
          </w:p>
        </w:tc>
        <w:tc>
          <w:tcPr/>
          <w:p>
            <w:pPr>
              <w:pStyle w:val="Compact"/>
              <w:jc w:val="left"/>
            </w:pPr>
            <w:r>
              <w:t xml:space="preserve">quantum_nonce</w:t>
            </w:r>
          </w:p>
        </w:tc>
        <w:tc>
          <w:tcPr/>
          <w:p>
            <w:pPr>
              <w:pStyle w:val="Compact"/>
              <w:jc w:val="left"/>
            </w:pPr>
            <w:r>
              <w:t xml:space="preserve">✅ PASS</w:t>
            </w:r>
          </w:p>
        </w:tc>
      </w:tr>
      <w:tr>
        <w:tc>
          <w:tcPr/>
          <w:p>
            <w:pPr>
              <w:pStyle w:val="Compact"/>
              <w:jc w:val="left"/>
            </w:pPr>
            <w:r>
              <w:t xml:space="preserve">b</w:t>
            </w:r>
          </w:p>
        </w:tc>
        <w:tc>
          <w:tcPr/>
          <w:p>
            <w:pPr>
              <w:pStyle w:val="Compact"/>
              <w:jc w:val="left"/>
            </w:pPr>
            <w:r>
              <w:t xml:space="preserve">job_id_altered</w:t>
            </w:r>
          </w:p>
        </w:tc>
        <w:tc>
          <w:tcPr/>
          <w:p>
            <w:pPr>
              <w:pStyle w:val="Compact"/>
              <w:jc w:val="left"/>
            </w:pPr>
            <w:r>
              <w:t xml:space="preserve">quantum_nonce and record_hash</w:t>
            </w:r>
          </w:p>
        </w:tc>
        <w:tc>
          <w:tcPr/>
          <w:p>
            <w:pPr>
              <w:pStyle w:val="Compact"/>
              <w:jc w:val="left"/>
            </w:pPr>
            <w:r>
              <w:t xml:space="preserve">✅ PASS</w:t>
            </w:r>
          </w:p>
        </w:tc>
      </w:tr>
      <w:tr>
        <w:tc>
          <w:tcPr/>
          <w:p>
            <w:pPr>
              <w:pStyle w:val="Compact"/>
              <w:jc w:val="left"/>
            </w:pPr>
            <w:r>
              <w:t xml:space="preserve">c</w:t>
            </w:r>
          </w:p>
        </w:tc>
        <w:tc>
          <w:tcPr/>
          <w:p>
            <w:pPr>
              <w:pStyle w:val="Compact"/>
              <w:jc w:val="left"/>
            </w:pPr>
            <w:r>
              <w:t xml:space="preserve">calibration_snapshot_altered</w:t>
            </w:r>
          </w:p>
        </w:tc>
        <w:tc>
          <w:tcPr/>
          <w:p>
            <w:pPr>
              <w:pStyle w:val="Compact"/>
              <w:jc w:val="left"/>
            </w:pPr>
            <w:r>
              <w:t xml:space="preserve">quantum_nonce</w:t>
            </w:r>
          </w:p>
        </w:tc>
        <w:tc>
          <w:tcPr/>
          <w:p>
            <w:pPr>
              <w:pStyle w:val="Compact"/>
              <w:jc w:val="left"/>
            </w:pPr>
            <w:r>
              <w:t xml:space="preserve">✅ PASS</w:t>
            </w:r>
          </w:p>
        </w:tc>
      </w:tr>
      <w:tr>
        <w:tc>
          <w:tcPr/>
          <w:p>
            <w:pPr>
              <w:pStyle w:val="Compact"/>
              <w:jc w:val="left"/>
            </w:pPr>
            <w:r>
              <w:t xml:space="preserve">d</w:t>
            </w:r>
          </w:p>
        </w:tc>
        <w:tc>
          <w:tcPr/>
          <w:p>
            <w:pPr>
              <w:pStyle w:val="Compact"/>
              <w:jc w:val="left"/>
            </w:pPr>
            <w:r>
              <w:t xml:space="preserve">context_id_altered (record_hash not updated)</w:t>
            </w:r>
          </w:p>
        </w:tc>
        <w:tc>
          <w:tcPr/>
          <w:p>
            <w:pPr>
              <w:pStyle w:val="Compact"/>
              <w:jc w:val="left"/>
            </w:pPr>
            <w:r>
              <w:t xml:space="preserve">record_hash</w:t>
            </w:r>
          </w:p>
        </w:tc>
        <w:tc>
          <w:tcPr/>
          <w:p>
            <w:pPr>
              <w:pStyle w:val="Compact"/>
              <w:jc w:val="left"/>
            </w:pPr>
            <w:r>
              <w:t xml:space="preserve">✅ PASS</w:t>
            </w:r>
          </w:p>
        </w:tc>
      </w:tr>
    </w:tbl>
    <w:p>
      <w:pPr>
        <w:pStyle w:val="BodyText"/>
      </w:pPr>
      <w:r>
        <w:t xml:space="preserve">All four forgery patterns detected. No false negative.</w:t>
      </w:r>
    </w:p>
    <w:p>
      <w:r>
        <w:pict>
          <v:rect style="width:0;height:1.5pt" o:hralign="center" o:hrstd="t" o:hr="t"/>
        </w:pict>
      </w:r>
    </w:p>
    <w:bookmarkEnd w:id="28"/>
    <w:bookmarkStart w:id="29" w:name="Xbcdaa9f95727521ef7ccd211b1ddb87e2cfae05"/>
    <w:p>
      <w:pPr>
        <w:pStyle w:val="Heading3"/>
      </w:pPr>
      <w:r>
        <w:t xml:space="preserve">W2-C3 — Cross-Context Replay Rejection (2 sub-cases)</w:t>
      </w:r>
    </w:p>
    <w:p>
      <w:pPr>
        <w:pStyle w:val="FirstParagraph"/>
      </w:pPr>
      <w:r>
        <w:rPr>
          <w:bCs/>
          <w:b/>
        </w:rPr>
        <w:t xml:space="preserve">Verdict: PASS</w:t>
      </w:r>
    </w:p>
    <w:tbl>
      <w:tblPr>
        <w:tblStyle w:val="Table"/>
        <w:tblW w:type="pct" w:w="5000"/>
        <w:tblLook w:firstRow="1" w:lastRow="0" w:firstColumn="0" w:lastColumn="0" w:noHBand="0" w:noVBand="0" w:val="0020"/>
      </w:tblPr>
      <w:tblGrid>
        <w:gridCol w:w="1100"/>
        <w:gridCol w:w="1430"/>
        <w:gridCol w:w="2090"/>
        <w:gridCol w:w="1870"/>
        <w:gridCol w:w="1430"/>
      </w:tblGrid>
      <w:tr>
        <w:trPr>
          <w:tblHeader w:val="true"/>
        </w:trPr>
        <w:tc>
          <w:tcPr/>
          <w:p>
            <w:pPr>
              <w:pStyle w:val="Compact"/>
              <w:jc w:val="left"/>
            </w:pPr>
            <w:r>
              <w:t xml:space="preserve">Sub-case</w:t>
            </w:r>
          </w:p>
        </w:tc>
        <w:tc>
          <w:tcPr/>
          <w:p>
            <w:pPr>
              <w:pStyle w:val="Compact"/>
              <w:jc w:val="left"/>
            </w:pPr>
            <w:r>
              <w:t xml:space="preserve">Description</w:t>
            </w:r>
          </w:p>
        </w:tc>
        <w:tc>
          <w:tcPr/>
          <w:p>
            <w:pPr>
              <w:pStyle w:val="Compact"/>
              <w:jc w:val="left"/>
            </w:pPr>
            <w:r>
              <w:t xml:space="preserve">Enforcement Layer</w:t>
            </w:r>
          </w:p>
        </w:tc>
        <w:tc>
          <w:tcPr/>
          <w:p>
            <w:pPr>
              <w:pStyle w:val="Compact"/>
              <w:jc w:val="left"/>
            </w:pPr>
            <w:r>
              <w:t xml:space="preserve">Replay Decision</w:t>
            </w:r>
          </w:p>
        </w:tc>
        <w:tc>
          <w:tcPr/>
          <w:p>
            <w:pPr>
              <w:pStyle w:val="Compact"/>
              <w:jc w:val="left"/>
            </w:pPr>
            <w:r>
              <w:t xml:space="preserve">Sub-verdict</w:t>
            </w:r>
          </w:p>
        </w:tc>
      </w:tr>
      <w:tr>
        <w:tc>
          <w:tcPr/>
          <w:p>
            <w:pPr>
              <w:pStyle w:val="Compact"/>
              <w:jc w:val="left"/>
            </w:pPr>
            <w:r>
              <w:t xml:space="preserve">a</w:t>
            </w:r>
          </w:p>
        </w:tc>
        <w:tc>
          <w:tcPr/>
          <w:p>
            <w:pPr>
              <w:pStyle w:val="Compact"/>
              <w:jc w:val="left"/>
            </w:pPr>
            <w:r>
              <w:t xml:space="preserve">context_id changed, record_hash not recomputed</w:t>
            </w:r>
          </w:p>
        </w:tc>
        <w:tc>
          <w:tcPr/>
          <w:p>
            <w:pPr>
              <w:pStyle w:val="Compact"/>
              <w:jc w:val="left"/>
            </w:pPr>
            <w:r>
              <w:t xml:space="preserve">record_hash</w:t>
            </w:r>
          </w:p>
        </w:tc>
        <w:tc>
          <w:tcPr/>
          <w:p>
            <w:pPr>
              <w:pStyle w:val="Compact"/>
              <w:jc w:val="left"/>
            </w:pPr>
            <w:r>
              <w:t xml:space="preserve">DENY</w:t>
            </w:r>
          </w:p>
        </w:tc>
        <w:tc>
          <w:tcPr/>
          <w:p>
            <w:pPr>
              <w:pStyle w:val="Compact"/>
              <w:jc w:val="left"/>
            </w:pPr>
            <w:r>
              <w:t xml:space="preserve">✅ PASS</w:t>
            </w:r>
          </w:p>
        </w:tc>
      </w:tr>
      <w:tr>
        <w:tc>
          <w:tcPr/>
          <w:p>
            <w:pPr>
              <w:pStyle w:val="Compact"/>
              <w:jc w:val="left"/>
            </w:pPr>
            <w:r>
              <w:t xml:space="preserve">b</w:t>
            </w:r>
          </w:p>
        </w:tc>
        <w:tc>
          <w:tcPr/>
          <w:p>
            <w:pPr>
              <w:pStyle w:val="Compact"/>
              <w:jc w:val="left"/>
            </w:pPr>
            <w:r>
              <w:t xml:space="preserve">context_id changed, record_hash recomputed — boundary test</w:t>
            </w:r>
          </w:p>
        </w:tc>
        <w:tc>
          <w:tcPr/>
          <w:p>
            <w:pPr>
              <w:pStyle w:val="Compact"/>
              <w:jc w:val="left"/>
            </w:pPr>
            <w:r>
              <w:t xml:space="preserve">ARK-457 context binding</w:t>
            </w:r>
          </w:p>
        </w:tc>
        <w:tc>
          <w:tcPr/>
          <w:p>
            <w:pPr>
              <w:pStyle w:val="Compact"/>
              <w:jc w:val="left"/>
            </w:pPr>
            <w:r>
              <w:t xml:space="preserve">DENY</w:t>
            </w:r>
          </w:p>
        </w:tc>
        <w:tc>
          <w:tcPr/>
          <w:p>
            <w:pPr>
              <w:pStyle w:val="Compact"/>
              <w:jc w:val="left"/>
            </w:pPr>
            <w:r>
              <w:t xml:space="preserve">✅ PASS</w:t>
            </w:r>
          </w:p>
        </w:tc>
      </w:tr>
    </w:tbl>
    <w:p>
      <w:pPr>
        <w:pStyle w:val="BodyText"/>
      </w:pPr>
      <w:r>
        <w:rPr>
          <w:bCs/>
          <w:b/>
        </w:rPr>
        <w:t xml:space="preserve">Design boundary note (sub-case b):</w:t>
      </w:r>
      <w:r>
        <w:t xml:space="preserve"> </w:t>
      </w:r>
      <w:r>
        <w:t xml:space="preserve">record_hash is valid because the attacker recomputed it. DENY is enforced by ARK-457 five-dimensional context binding. This confirms the design boundary: record_hash = field integrity only; context_id enforcement requires the separate authorization layer (ARK-457).</w:t>
      </w:r>
    </w:p>
    <w:p>
      <w:r>
        <w:pict>
          <v:rect style="width:0;height:1.5pt" o:hralign="center" o:hrstd="t" o:hr="t"/>
        </w:pict>
      </w:r>
    </w:p>
    <w:bookmarkEnd w:id="29"/>
    <w:bookmarkEnd w:id="30"/>
    <w:bookmarkStart w:id="31" w:name="integrity-summary"/>
    <w:p>
      <w:pPr>
        <w:pStyle w:val="Heading2"/>
      </w:pPr>
      <w:r>
        <w:t xml:space="preserve">7. Integrity Summary</w:t>
      </w:r>
    </w:p>
    <w:tbl>
      <w:tblPr>
        <w:tblStyle w:val="Table"/>
        <w:tblW w:type="pct" w:w="5000"/>
        <w:tblLook w:firstRow="1" w:lastRow="0" w:firstColumn="0" w:lastColumn="0" w:noHBand="0" w:noVBand="0" w:val="0020"/>
      </w:tblPr>
      <w:tblGrid>
        <w:gridCol w:w="3655"/>
        <w:gridCol w:w="4264"/>
      </w:tblGrid>
      <w:tr>
        <w:trPr>
          <w:tblHeader w:val="true"/>
        </w:trPr>
        <w:tc>
          <w:tcPr/>
          <w:p>
            <w:pPr>
              <w:pStyle w:val="Compact"/>
              <w:jc w:val="left"/>
            </w:pPr>
            <w:r>
              <w:t xml:space="preserve">Hash</w:t>
            </w:r>
          </w:p>
        </w:tc>
        <w:tc>
          <w:tcPr/>
          <w:p>
            <w:pPr>
              <w:pStyle w:val="Compact"/>
              <w:jc w:val="left"/>
            </w:pPr>
            <w:r>
              <w:t xml:space="preserve">Value</w:t>
            </w:r>
          </w:p>
        </w:tc>
      </w:tr>
      <w:tr>
        <w:tc>
          <w:tcPr/>
          <w:p>
            <w:pPr>
              <w:pStyle w:val="Compact"/>
              <w:jc w:val="left"/>
            </w:pPr>
            <w:r>
              <w:t xml:space="preserve">quantum_nonce</w:t>
            </w:r>
          </w:p>
        </w:tc>
        <w:tc>
          <w:tcPr/>
          <w:p>
            <w:pPr>
              <w:pStyle w:val="Compact"/>
              <w:jc w:val="left"/>
            </w:pPr>
            <w:r>
              <w:rPr>
                <w:rStyle w:val="VerbatimChar"/>
              </w:rPr>
              <w:t xml:space="preserve">e425dc92c028b344f3f8f46b9c269bf9f8696f87e6b0085d46fad7452770659b</w:t>
            </w:r>
          </w:p>
        </w:tc>
      </w:tr>
      <w:tr>
        <w:tc>
          <w:tcPr/>
          <w:p>
            <w:pPr>
              <w:pStyle w:val="Compact"/>
              <w:jc w:val="left"/>
            </w:pPr>
            <w:r>
              <w:t xml:space="preserve">raw_counts_hash</w:t>
            </w:r>
          </w:p>
        </w:tc>
        <w:tc>
          <w:tcPr/>
          <w:p>
            <w:pPr>
              <w:pStyle w:val="Compact"/>
              <w:jc w:val="left"/>
            </w:pPr>
            <w:r>
              <w:rPr>
                <w:rStyle w:val="VerbatimChar"/>
              </w:rPr>
              <w:t xml:space="preserve">97bfe36ea8815599d8b11bdbb9ed9cfc0f0946dbf43961e12fe1c42fe1adbcef</w:t>
            </w:r>
          </w:p>
        </w:tc>
      </w:tr>
      <w:tr>
        <w:tc>
          <w:tcPr/>
          <w:p>
            <w:pPr>
              <w:pStyle w:val="Compact"/>
              <w:jc w:val="left"/>
            </w:pPr>
            <w:r>
              <w:t xml:space="preserve">calibration_hash</w:t>
            </w:r>
          </w:p>
        </w:tc>
        <w:tc>
          <w:tcPr/>
          <w:p>
            <w:pPr>
              <w:pStyle w:val="Compact"/>
              <w:jc w:val="left"/>
            </w:pPr>
            <w:r>
              <w:rPr>
                <w:rStyle w:val="VerbatimChar"/>
              </w:rPr>
              <w:t xml:space="preserve">1ab5ef208c90ab60ed039c738374c5f51bcc49e2557a3151c23873a4ee1c4f3f</w:t>
            </w:r>
          </w:p>
        </w:tc>
      </w:tr>
      <w:tr>
        <w:tc>
          <w:tcPr/>
          <w:p>
            <w:pPr>
              <w:pStyle w:val="Compact"/>
              <w:jc w:val="left"/>
            </w:pPr>
            <w:r>
              <w:t xml:space="preserve">record_hash</w:t>
            </w:r>
          </w:p>
        </w:tc>
        <w:tc>
          <w:tcPr/>
          <w:p>
            <w:pPr>
              <w:pStyle w:val="Compact"/>
              <w:jc w:val="left"/>
            </w:pPr>
            <w:r>
              <w:rPr>
                <w:rStyle w:val="VerbatimChar"/>
              </w:rPr>
              <w:t xml:space="preserve">271ff5eae1fdfac85f6fd24ebd919a608804d6f1546a4ca9874f481ce5f97ae1</w:t>
            </w:r>
          </w:p>
        </w:tc>
      </w:tr>
    </w:tbl>
    <w:p>
      <w:pPr>
        <w:pStyle w:val="BodyText"/>
      </w:pPr>
      <w:r>
        <w:t xml:space="preserve">All hashes computed deterministically from QPU output. No post-hoc modification.</w:t>
      </w:r>
    </w:p>
    <w:p>
      <w:r>
        <w:pict>
          <v:rect style="width:0;height:1.5pt" o:hralign="center" o:hrstd="t" o:hr="t"/>
        </w:pict>
      </w:r>
    </w:p>
    <w:bookmarkEnd w:id="31"/>
    <w:bookmarkStart w:id="32" w:name="artifacts"/>
    <w:p>
      <w:pPr>
        <w:pStyle w:val="Heading2"/>
      </w:pPr>
      <w:r>
        <w:t xml:space="preserve">8. Artifacts</w:t>
      </w:r>
    </w:p>
    <w:tbl>
      <w:tblPr>
        <w:tblStyle w:val="Table"/>
        <w:tblW w:type="pct" w:w="5000"/>
        <w:tblLook w:firstRow="1" w:lastRow="0" w:firstColumn="0" w:lastColumn="0" w:noHBand="0" w:noVBand="0" w:val="0020"/>
      </w:tblPr>
      <w:tblGrid>
        <w:gridCol w:w="4950"/>
        <w:gridCol w:w="2970"/>
      </w:tblGrid>
      <w:tr>
        <w:trPr>
          <w:tblHeader w:val="true"/>
        </w:trPr>
        <w:tc>
          <w:tcPr/>
          <w:p>
            <w:pPr>
              <w:pStyle w:val="Compact"/>
              <w:jc w:val="left"/>
            </w:pPr>
            <w:r>
              <w:t xml:space="preserve">Artifact</w:t>
            </w:r>
          </w:p>
        </w:tc>
        <w:tc>
          <w:tcPr/>
          <w:p>
            <w:pPr>
              <w:pStyle w:val="Compact"/>
              <w:jc w:val="left"/>
            </w:pPr>
            <w:r>
              <w:t xml:space="preserve">Path</w:t>
            </w:r>
          </w:p>
        </w:tc>
      </w:tr>
      <w:tr>
        <w:tc>
          <w:tcPr/>
          <w:p>
            <w:pPr>
              <w:pStyle w:val="Compact"/>
              <w:jc w:val="left"/>
            </w:pPr>
            <w:r>
              <w:t xml:space="preserve">ProofRecord</w:t>
            </w:r>
          </w:p>
        </w:tc>
        <w:tc>
          <w:tcPr/>
          <w:p>
            <w:pPr>
              <w:pStyle w:val="Compact"/>
              <w:jc w:val="left"/>
            </w:pPr>
            <w:r>
              <w:rPr>
                <w:rStyle w:val="VerbatimChar"/>
              </w:rPr>
              <w:t xml:space="preserve">witness-2/results/proofrecord.json</w:t>
            </w:r>
          </w:p>
        </w:tc>
      </w:tr>
      <w:tr>
        <w:tc>
          <w:tcPr/>
          <w:p>
            <w:pPr>
              <w:pStyle w:val="Compact"/>
              <w:jc w:val="left"/>
            </w:pPr>
            <w:r>
              <w:t xml:space="preserve">Raw counts</w:t>
            </w:r>
          </w:p>
        </w:tc>
        <w:tc>
          <w:tcPr/>
          <w:p>
            <w:pPr>
              <w:pStyle w:val="Compact"/>
              <w:jc w:val="left"/>
            </w:pPr>
            <w:r>
              <w:rPr>
                <w:rStyle w:val="VerbatimChar"/>
              </w:rPr>
              <w:t xml:space="preserve">witness-2/results/raw/raw_counts.json</w:t>
            </w:r>
          </w:p>
        </w:tc>
      </w:tr>
      <w:tr>
        <w:tc>
          <w:tcPr/>
          <w:p>
            <w:pPr>
              <w:pStyle w:val="Compact"/>
              <w:jc w:val="left"/>
            </w:pPr>
            <w:r>
              <w:t xml:space="preserve">Job metadata</w:t>
            </w:r>
          </w:p>
        </w:tc>
        <w:tc>
          <w:tcPr/>
          <w:p>
            <w:pPr>
              <w:pStyle w:val="Compact"/>
              <w:jc w:val="left"/>
            </w:pPr>
            <w:r>
              <w:rPr>
                <w:rStyle w:val="VerbatimChar"/>
              </w:rPr>
              <w:t xml:space="preserve">witness-2/results/raw/job_meta.json</w:t>
            </w:r>
          </w:p>
        </w:tc>
      </w:tr>
      <w:tr>
        <w:tc>
          <w:tcPr/>
          <w:p>
            <w:pPr>
              <w:pStyle w:val="Compact"/>
              <w:jc w:val="left"/>
            </w:pPr>
            <w:r>
              <w:t xml:space="preserve">Calibration snapshot</w:t>
            </w:r>
          </w:p>
        </w:tc>
        <w:tc>
          <w:tcPr/>
          <w:p>
            <w:pPr>
              <w:pStyle w:val="Compact"/>
              <w:jc w:val="left"/>
            </w:pPr>
            <w:r>
              <w:rPr>
                <w:rStyle w:val="VerbatimChar"/>
              </w:rPr>
              <w:t xml:space="preserve">witness-2/results/raw/calibration_snapshot.json</w:t>
            </w:r>
          </w:p>
        </w:tc>
      </w:tr>
      <w:tr>
        <w:tc>
          <w:tcPr/>
          <w:p>
            <w:pPr>
              <w:pStyle w:val="Compact"/>
              <w:jc w:val="left"/>
            </w:pPr>
            <w:r>
              <w:t xml:space="preserve">W2-C1 result</w:t>
            </w:r>
          </w:p>
        </w:tc>
        <w:tc>
          <w:tcPr/>
          <w:p>
            <w:pPr>
              <w:pStyle w:val="Compact"/>
              <w:jc w:val="left"/>
            </w:pPr>
            <w:r>
              <w:rPr>
                <w:rStyle w:val="VerbatimChar"/>
              </w:rPr>
              <w:t xml:space="preserve">witness-2/results/W2-C1-result.json</w:t>
            </w:r>
          </w:p>
        </w:tc>
      </w:tr>
      <w:tr>
        <w:tc>
          <w:tcPr/>
          <w:p>
            <w:pPr>
              <w:pStyle w:val="Compact"/>
              <w:jc w:val="left"/>
            </w:pPr>
            <w:r>
              <w:t xml:space="preserve">W2-C2 result</w:t>
            </w:r>
          </w:p>
        </w:tc>
        <w:tc>
          <w:tcPr/>
          <w:p>
            <w:pPr>
              <w:pStyle w:val="Compact"/>
              <w:jc w:val="left"/>
            </w:pPr>
            <w:r>
              <w:rPr>
                <w:rStyle w:val="VerbatimChar"/>
              </w:rPr>
              <w:t xml:space="preserve">witness-2/results/W2-C2-result.json</w:t>
            </w:r>
          </w:p>
        </w:tc>
      </w:tr>
      <w:tr>
        <w:tc>
          <w:tcPr/>
          <w:p>
            <w:pPr>
              <w:pStyle w:val="Compact"/>
              <w:jc w:val="left"/>
            </w:pPr>
            <w:r>
              <w:t xml:space="preserve">W2-C3 result</w:t>
            </w:r>
          </w:p>
        </w:tc>
        <w:tc>
          <w:tcPr/>
          <w:p>
            <w:pPr>
              <w:pStyle w:val="Compact"/>
              <w:jc w:val="left"/>
            </w:pPr>
            <w:r>
              <w:rPr>
                <w:rStyle w:val="VerbatimChar"/>
              </w:rPr>
              <w:t xml:space="preserve">witness-2/results/W2-C3-result.json</w:t>
            </w:r>
          </w:p>
        </w:tc>
      </w:tr>
      <w:tr>
        <w:tc>
          <w:tcPr/>
          <w:p>
            <w:pPr>
              <w:pStyle w:val="Compact"/>
              <w:jc w:val="left"/>
            </w:pPr>
            <w:r>
              <w:t xml:space="preserve">Preregistration (MD)</w:t>
            </w:r>
          </w:p>
        </w:tc>
        <w:tc>
          <w:tcPr/>
          <w:p>
            <w:pPr>
              <w:pStyle w:val="Compact"/>
              <w:jc w:val="left"/>
            </w:pPr>
            <w:r>
              <w:rPr>
                <w:rStyle w:val="VerbatimChar"/>
              </w:rPr>
              <w:t xml:space="preserve">witness-2/prereg/WITNESS-2-prereg.md</w:t>
            </w:r>
          </w:p>
        </w:tc>
      </w:tr>
      <w:tr>
        <w:tc>
          <w:tcPr/>
          <w:p>
            <w:pPr>
              <w:pStyle w:val="Compact"/>
              <w:jc w:val="left"/>
            </w:pPr>
            <w:r>
              <w:t xml:space="preserve">Preregistration (PDF)</w:t>
            </w:r>
          </w:p>
        </w:tc>
        <w:tc>
          <w:tcPr/>
          <w:p>
            <w:pPr>
              <w:pStyle w:val="Compact"/>
              <w:jc w:val="left"/>
            </w:pPr>
            <w:r>
              <w:rPr>
                <w:rStyle w:val="VerbatimChar"/>
              </w:rPr>
              <w:t xml:space="preserve">witness-2/prereg/WITNESS-2-prereg.pdf</w:t>
            </w:r>
          </w:p>
        </w:tc>
      </w:tr>
      <w:tr>
        <w:tc>
          <w:tcPr/>
          <w:p>
            <w:pPr>
              <w:pStyle w:val="Compact"/>
              <w:jc w:val="left"/>
            </w:pPr>
            <w:r>
              <w:t xml:space="preserve">Preregistration (DOCX)</w:t>
            </w:r>
          </w:p>
        </w:tc>
        <w:tc>
          <w:tcPr/>
          <w:p>
            <w:pPr>
              <w:pStyle w:val="Compact"/>
              <w:jc w:val="left"/>
            </w:pPr>
            <w:r>
              <w:rPr>
                <w:rStyle w:val="VerbatimChar"/>
              </w:rPr>
              <w:t xml:space="preserve">witness-2/prereg/WITNESS-2-prereg.docx</w:t>
            </w:r>
          </w:p>
        </w:tc>
      </w:tr>
      <w:tr>
        <w:tc>
          <w:tcPr/>
          <w:p>
            <w:pPr>
              <w:pStyle w:val="Compact"/>
              <w:jc w:val="left"/>
            </w:pPr>
            <w:r>
              <w:t xml:space="preserve">MANIFEST</w:t>
            </w:r>
          </w:p>
        </w:tc>
        <w:tc>
          <w:tcPr/>
          <w:p>
            <w:pPr>
              <w:pStyle w:val="Compact"/>
              <w:jc w:val="left"/>
            </w:pPr>
            <w:r>
              <w:rPr>
                <w:rStyle w:val="VerbatimChar"/>
              </w:rPr>
              <w:t xml:space="preserve">witness-2/MANIFEST.sha256</w:t>
            </w:r>
          </w:p>
        </w:tc>
      </w:tr>
    </w:tbl>
    <w:p>
      <w:r>
        <w:pict>
          <v:rect style="width:0;height:1.5pt" o:hralign="center" o:hrstd="t" o:hr="t"/>
        </w:pict>
      </w:r>
    </w:p>
    <w:bookmarkEnd w:id="32"/>
    <w:bookmarkStart w:id="33" w:name="scope-and-limitations"/>
    <w:p>
      <w:pPr>
        <w:pStyle w:val="Heading2"/>
      </w:pPr>
      <w:r>
        <w:t xml:space="preserve">9. Scope and Limitations</w:t>
      </w:r>
    </w:p>
    <w:p>
      <w:pPr>
        <w:numPr>
          <w:ilvl w:val="0"/>
          <w:numId w:val="1001"/>
        </w:numPr>
      </w:pPr>
      <w:r>
        <w:rPr>
          <w:bCs/>
          <w:b/>
        </w:rPr>
        <w:t xml:space="preserve">Provider provenance only.</w:t>
      </w:r>
      <w:r>
        <w:t xml:space="preserve"> </w:t>
      </w:r>
      <w:r>
        <w:t xml:space="preserve">W2-C1 confirms that the job_id and counts match the IBM provider API at verification time. This confirms provider record integrity, not physical QPU origin or randomness quality.</w:t>
      </w:r>
    </w:p>
    <w:p>
      <w:pPr>
        <w:numPr>
          <w:ilvl w:val="0"/>
          <w:numId w:val="1001"/>
        </w:numPr>
      </w:pPr>
      <w:r>
        <w:rPr>
          <w:bCs/>
          <w:b/>
        </w:rPr>
        <w:t xml:space="preserve">Harness fixes disclosed.</w:t>
      </w:r>
      <w:r>
        <w:t xml:space="preserve"> </w:t>
      </w:r>
      <w:r>
        <w:t xml:space="preserve">Two pre-execution harness fixes (FIX-1, FIX-2) were applied and committed before any QPU job was submitted. They did not change the circuit, shot count, eligibility criteria, case definitions, or decision procedure. MANIFEST.sha256 was recomputed and recommitted after each fix.</w:t>
      </w:r>
    </w:p>
    <w:p>
      <w:pPr>
        <w:numPr>
          <w:ilvl w:val="0"/>
          <w:numId w:val="1001"/>
        </w:numPr>
      </w:pPr>
      <w:r>
        <w:rPr>
          <w:bCs/>
          <w:b/>
        </w:rPr>
        <w:t xml:space="preserve">Open plan budget.</w:t>
      </w:r>
      <w:r>
        <w:t xml:space="preserve"> </w:t>
      </w:r>
      <w:r>
        <w:t xml:space="preserve">Job was submitted on the IBM Quantum open plan. Budget status confirmed (125s remaining) before submission.</w:t>
      </w:r>
    </w:p>
    <w:p>
      <w:pPr>
        <w:numPr>
          <w:ilvl w:val="0"/>
          <w:numId w:val="1001"/>
        </w:numPr>
      </w:pPr>
      <w:r>
        <w:rPr>
          <w:bCs/>
          <w:b/>
        </w:rPr>
        <w:t xml:space="preserve">ARK-457 boundary confirmed.</w:t>
      </w:r>
      <w:r>
        <w:t xml:space="preserve"> </w:t>
      </w:r>
      <w:r>
        <w:t xml:space="preserve">Sub-case W2-C3b demonstrates that record_hash recomputation by an attacker is insufficient for cross-context replay; only ARK-457 context binding blocks it.</w:t>
      </w:r>
    </w:p>
    <w:p>
      <w:r>
        <w:pict>
          <v:rect style="width:0;height:1.5pt" o:hralign="center" o:hrstd="t" o:hr="t"/>
        </w:pict>
      </w:r>
    </w:p>
    <w:bookmarkEnd w:id="33"/>
    <w:bookmarkStart w:id="36" w:name="witness-series-context"/>
    <w:p>
      <w:pPr>
        <w:pStyle w:val="Heading2"/>
      </w:pPr>
      <w:r>
        <w:t xml:space="preserve">10. WITNESS Series Context</w:t>
      </w:r>
    </w:p>
    <w:tbl>
      <w:tblPr>
        <w:tblStyle w:val="Table"/>
        <w:tblW w:type="pct" w:w="5000"/>
        <w:tblLook w:firstRow="1" w:lastRow="0" w:firstColumn="0" w:lastColumn="0" w:noHBand="0" w:noVBand="0" w:val="0020"/>
      </w:tblPr>
      <w:tblGrid>
        <w:gridCol w:w="3801"/>
        <w:gridCol w:w="2534"/>
        <w:gridCol w:w="1584"/>
      </w:tblGrid>
      <w:tr>
        <w:trPr>
          <w:tblHeader w:val="true"/>
        </w:trPr>
        <w:tc>
          <w:tcPr/>
          <w:p>
            <w:pPr>
              <w:pStyle w:val="Compact"/>
              <w:jc w:val="left"/>
            </w:pPr>
            <w:r>
              <w:t xml:space="preserve">Experiment</w:t>
            </w:r>
          </w:p>
        </w:tc>
        <w:tc>
          <w:tcPr/>
          <w:p>
            <w:pPr>
              <w:pStyle w:val="Compact"/>
              <w:jc w:val="left"/>
            </w:pPr>
            <w:r>
              <w:t xml:space="preserve">Status</w:t>
            </w:r>
          </w:p>
        </w:tc>
        <w:tc>
          <w:tcPr/>
          <w:p>
            <w:pPr>
              <w:pStyle w:val="Compact"/>
              <w:jc w:val="left"/>
            </w:pPr>
            <w:r>
              <w:t xml:space="preserve">DOI</w:t>
            </w:r>
          </w:p>
        </w:tc>
      </w:tr>
      <w:tr>
        <w:tc>
          <w:tcPr/>
          <w:p>
            <w:pPr>
              <w:pStyle w:val="Compact"/>
              <w:jc w:val="left"/>
            </w:pPr>
            <w:r>
              <w:t xml:space="preserve">WITNESS-1</w:t>
            </w:r>
          </w:p>
        </w:tc>
        <w:tc>
          <w:tcPr/>
          <w:p>
            <w:pPr>
              <w:pStyle w:val="Compact"/>
              <w:jc w:val="left"/>
            </w:pPr>
            <w:r>
              <w:t xml:space="preserve">✅ Published</w:t>
            </w:r>
          </w:p>
        </w:tc>
        <w:tc>
          <w:tcPr/>
          <w:p>
            <w:pPr>
              <w:pStyle w:val="Compact"/>
              <w:jc w:val="left"/>
            </w:pPr>
            <w:hyperlink r:id="rId34">
              <w:r>
                <w:rPr>
                  <w:rStyle w:val="Hyperlink"/>
                </w:rPr>
                <w:t xml:space="preserve">10.5281/zenodo.21424324</w:t>
              </w:r>
            </w:hyperlink>
          </w:p>
        </w:tc>
      </w:tr>
      <w:tr>
        <w:tc>
          <w:tcPr/>
          <w:p>
            <w:pPr>
              <w:pStyle w:val="Compact"/>
              <w:jc w:val="left"/>
            </w:pPr>
            <w:r>
              <w:t xml:space="preserve">WITNESS-2</w:t>
            </w:r>
          </w:p>
        </w:tc>
        <w:tc>
          <w:tcPr/>
          <w:p>
            <w:pPr>
              <w:pStyle w:val="Compact"/>
              <w:jc w:val="left"/>
            </w:pPr>
            <w:r>
              <w:t xml:space="preserve">✅ Published</w:t>
            </w:r>
          </w:p>
        </w:tc>
        <w:tc>
          <w:tcPr/>
          <w:p>
            <w:pPr>
              <w:pStyle w:val="Compact"/>
              <w:jc w:val="left"/>
            </w:pPr>
            <w:hyperlink r:id="rId20">
              <w:r>
                <w:rPr>
                  <w:rStyle w:val="Hyperlink"/>
                </w:rPr>
                <w:t xml:space="preserve">10.5281/zenodo.21425381</w:t>
              </w:r>
            </w:hyperlink>
          </w:p>
        </w:tc>
      </w:tr>
    </w:tbl>
    <w:p>
      <w:pPr>
        <w:pStyle w:val="BodyText"/>
      </w:pPr>
      <w:r>
        <w:t xml:space="preserve">WITNESS series concept DOI:</w:t>
      </w:r>
      <w:r>
        <w:t xml:space="preserve"> </w:t>
      </w:r>
      <w:hyperlink r:id="rId35">
        <w:r>
          <w:rPr>
            <w:rStyle w:val="Hyperlink"/>
          </w:rPr>
          <w:t xml:space="preserve">10.5281/zenodo.21424323</w:t>
        </w:r>
      </w:hyperlink>
    </w:p>
    <w:p>
      <w:r>
        <w:pict>
          <v:rect style="width:0;height:1.5pt" o:hralign="center" o:hrstd="t" o:hr="t"/>
        </w:pict>
      </w:r>
    </w:p>
    <w:p>
      <w:pPr>
        <w:pStyle w:val="FirstParagraph"/>
      </w:pPr>
      <w:r>
        <w:rPr>
          <w:iCs/>
          <w:i/>
        </w:rPr>
        <w:t xml:space="preserve">Report generated: 2026-07-18. All verdicts reflect actual QPU execution output. No synthetic data.</w:t>
      </w:r>
      <w:r>
        <w:br/>
      </w:r>
      <w:r>
        <w:rPr>
          <w:iCs/>
          <w:i/>
        </w:rPr>
        <w:t xml:space="preserve">Remnant Fieldworks Inc. — To God be the glory.</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doi.org/10.5281/zenodo.21424323" TargetMode="External" /><Relationship Type="http://schemas.openxmlformats.org/officeDocument/2006/relationships/hyperlink" Id="rId34" Target="https://doi.org/10.5281/zenodo.21424324" TargetMode="External" /><Relationship Type="http://schemas.openxmlformats.org/officeDocument/2006/relationships/hyperlink" Id="rId20" Target="https://doi.org/10.5281/zenodo.21425381" TargetMode="External" /></Relationships>
</file>

<file path=word/_rels/footnotes.xml.rels><?xml version="1.0" encoding="UTF-8"?><Relationships xmlns="http://schemas.openxmlformats.org/package/2006/relationships"><Relationship Type="http://schemas.openxmlformats.org/officeDocument/2006/relationships/hyperlink" Id="rId35" Target="https://doi.org/10.5281/zenodo.21424323" TargetMode="External" /><Relationship Type="http://schemas.openxmlformats.org/officeDocument/2006/relationships/hyperlink" Id="rId34" Target="https://doi.org/10.5281/zenodo.21424324" TargetMode="External" /><Relationship Type="http://schemas.openxmlformats.org/officeDocument/2006/relationships/hyperlink" Id="rId20" Target="https://doi.org/10.5281/zenodo.214253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2026-07-18T17:54:29Z</dcterms:created>
  <dcterms:modified xsi:type="dcterms:W3CDTF">2026-07-18T17:54:29Z</dcterms:modified>
</cp:coreProperties>
</file>

<file path=docProps/custom.xml><?xml version="1.0" encoding="utf-8"?>
<Properties xmlns="http://schemas.openxmlformats.org/officeDocument/2006/custom-properties" xmlns:vt="http://schemas.openxmlformats.org/officeDocument/2006/docPropsVTypes"/>
</file>