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witness-3-execution-report"/>
    <w:p>
      <w:pPr>
        <w:pStyle w:val="Heading1"/>
      </w:pPr>
      <w:r>
        <w:t xml:space="preserve">WITNESS-3 Execution Report</w:t>
      </w:r>
    </w:p>
    <w:p>
      <w:pPr>
        <w:pStyle w:val="FirstParagraph"/>
      </w:pPr>
      <w:r>
        <w:rPr>
          <w:bCs/>
          <w:b/>
        </w:rPr>
        <w:t xml:space="preserve">Cosmic Beacon: CHSH Bell + NIST Beacon + LIGO/GWOSC Fused Authorization Nonce</w:t>
      </w:r>
    </w:p>
    <w:p>
      <w:r>
        <w:pict>
          <v:rect style="width:0;height:1.5pt" o:hralign="center" o:hrstd="t" o:hr="t"/>
        </w:pict>
      </w:r>
    </w:p>
    <w:bookmarkStart w:id="20" w:name="executive-summary"/>
    <w:p>
      <w:pPr>
        <w:pStyle w:val="Heading2"/>
      </w:pPr>
      <w:r>
        <w:t xml:space="preserve">Executive Summary</w:t>
      </w:r>
    </w:p>
    <w:p>
      <w:pPr>
        <w:pStyle w:val="FirstParagraph"/>
      </w:pPr>
      <w:r>
        <w:rPr>
          <w:bCs/>
          <w:b/>
        </w:rPr>
        <w:t xml:space="preserve">Overall Verdict:</w:t>
      </w:r>
      <w:r>
        <w:t xml:space="preserve"> </w:t>
      </w:r>
      <w:r>
        <w:t xml:space="preserve">ALL PASS</w:t>
      </w:r>
    </w:p>
    <w:p>
      <w:pPr>
        <w:pStyle w:val="BodyText"/>
      </w:pPr>
      <w:r>
        <w:t xml:space="preserve">WITNESS-3</w:t>
      </w:r>
      <w:r>
        <w:t xml:space="preserve"> </w:t>
      </w:r>
      <w:r>
        <w:t xml:space="preserve">“</w:t>
      </w:r>
      <w:r>
        <w:t xml:space="preserve">Cosmic Beacon</w:t>
      </w:r>
      <w:r>
        <w:t xml:space="preserve">”</w:t>
      </w:r>
      <w:r>
        <w:t xml:space="preserve"> </w:t>
      </w:r>
      <w:r>
        <w:t xml:space="preserve">successfully fused</w:t>
      </w:r>
      <w:r>
        <w:t xml:space="preserve"> </w:t>
      </w:r>
      <w:r>
        <w:rPr>
          <w:bCs/>
          <w:b/>
        </w:rPr>
        <w:t xml:space="preserve">three independent, publicly re-verifiable physical witnesses</w:t>
      </w:r>
      <w:r>
        <w:t xml:space="preserve"> </w:t>
      </w:r>
      <w:r>
        <w:t xml:space="preserve">into a single ExecutionProof authorization nonce:</w:t>
      </w:r>
      <w:r>
        <w:t xml:space="preserve"> </w:t>
      </w:r>
      <w:r>
        <w:t xml:space="preserve">1.</w:t>
      </w:r>
      <w:r>
        <w:t xml:space="preserve"> </w:t>
      </w:r>
      <w:r>
        <w:rPr>
          <w:bCs/>
          <w:b/>
        </w:rPr>
        <w:t xml:space="preserve">CHSH Bell-inequality violation</w:t>
      </w:r>
      <w:r>
        <w:t xml:space="preserve"> </w:t>
      </w:r>
      <w:r>
        <w:t xml:space="preserve">measured on a real IBM QPU (certifies quantum non-classicality</w:t>
      </w:r>
      <w:r>
        <w:t xml:space="preserve"> </w:t>
      </w:r>
      <w:r>
        <w:rPr>
          <w:bCs/>
          <w:b/>
        </w:rPr>
        <w:t xml:space="preserve">AND</w:t>
      </w:r>
      <w:r>
        <w:t xml:space="preserve"> </w:t>
      </w:r>
      <w:r>
        <w:t xml:space="preserve">seeds the nonce),</w:t>
      </w:r>
      <w:r>
        <w:t xml:space="preserve"> </w:t>
      </w:r>
      <w:r>
        <w:t xml:space="preserve">2. A</w:t>
      </w:r>
      <w:r>
        <w:t xml:space="preserve"> </w:t>
      </w:r>
      <w:r>
        <w:rPr>
          <w:bCs/>
          <w:b/>
        </w:rPr>
        <w:t xml:space="preserve">NIST public Randomness Beacon</w:t>
      </w:r>
      <w:r>
        <w:t xml:space="preserve"> </w:t>
      </w:r>
      <w:r>
        <w:t xml:space="preserve">pulse,</w:t>
      </w:r>
      <w:r>
        <w:t xml:space="preserve"> </w:t>
      </w:r>
      <w:r>
        <w:t xml:space="preserve">3. A</w:t>
      </w:r>
      <w:r>
        <w:t xml:space="preserve"> </w:t>
      </w:r>
      <w:r>
        <w:rPr>
          <w:bCs/>
          <w:b/>
        </w:rPr>
        <w:t xml:space="preserve">byte-exact LIGO/GWOSC gravitational-wave data segment</w:t>
      </w:r>
      <w:r>
        <w:t xml:space="preserve"> </w:t>
      </w:r>
      <w:r>
        <w:t xml:space="preserve">from the first confirmed black-hole merger (GW150914).</w:t>
      </w:r>
    </w:p>
    <w:p>
      <w:pPr>
        <w:pStyle w:val="BodyText"/>
      </w:pPr>
      <w:r>
        <w:t xml:space="preserve">All four test cases — Bell certification, tamper detection, replay prevention, and honest end-to-end verification — returned</w:t>
      </w:r>
      <w:r>
        <w:t xml:space="preserve"> </w:t>
      </w:r>
      <w:r>
        <w:rPr>
          <w:bCs/>
          <w:b/>
        </w:rPr>
        <w:t xml:space="preserve">PASS</w:t>
      </w:r>
      <w:r>
        <w:t xml:space="preserve"> </w:t>
      </w:r>
      <w:r>
        <w:t xml:space="preserve">verdicts. The cosmic nonce and ProofRecord are publicly re-verifiable: every source witness can be independently fetched and verified by third parties.</w:t>
      </w:r>
    </w:p>
    <w:p>
      <w:r>
        <w:pict>
          <v:rect style="width:0;height:1.5pt" o:hralign="center" o:hrstd="t" o:hr="t"/>
        </w:pict>
      </w:r>
    </w:p>
    <w:bookmarkEnd w:id="20"/>
    <w:bookmarkStart w:id="21" w:name="qpu-execution"/>
    <w:p>
      <w:pPr>
        <w:pStyle w:val="Heading2"/>
      </w:pPr>
      <w:r>
        <w:t xml:space="preserve">QPU Execution</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rPr>
                <w:bCs/>
                <w:b/>
              </w:rPr>
              <w:t xml:space="preserve">Job ID</w:t>
            </w:r>
          </w:p>
        </w:tc>
        <w:tc>
          <w:tcPr/>
          <w:p>
            <w:pPr>
              <w:pStyle w:val="Compact"/>
              <w:jc w:val="left"/>
            </w:pPr>
            <w:r>
              <w:rPr>
                <w:rStyle w:val="VerbatimChar"/>
              </w:rPr>
              <w:t xml:space="preserve">d9dvul2neu4c739nrdl0</w:t>
            </w:r>
          </w:p>
        </w:tc>
      </w:tr>
      <w:tr>
        <w:tc>
          <w:tcPr/>
          <w:p>
            <w:pPr>
              <w:pStyle w:val="Compact"/>
              <w:jc w:val="left"/>
            </w:pPr>
            <w:r>
              <w:rPr>
                <w:bCs/>
                <w:b/>
              </w:rPr>
              <w:t xml:space="preserve">Backend</w:t>
            </w:r>
          </w:p>
        </w:tc>
        <w:tc>
          <w:tcPr/>
          <w:p>
            <w:pPr>
              <w:pStyle w:val="Compact"/>
              <w:jc w:val="left"/>
            </w:pPr>
            <w:r>
              <w:rPr>
                <w:rStyle w:val="VerbatimChar"/>
              </w:rPr>
              <w:t xml:space="preserve">ibm_fez</w:t>
            </w:r>
            <w:r>
              <w:t xml:space="preserve"> </w:t>
            </w:r>
            <w:r>
              <w:t xml:space="preserve">(IBM Quantum, us-east region)</w:t>
            </w:r>
          </w:p>
        </w:tc>
      </w:tr>
      <w:tr>
        <w:tc>
          <w:tcPr/>
          <w:p>
            <w:pPr>
              <w:pStyle w:val="Compact"/>
              <w:jc w:val="left"/>
            </w:pPr>
            <w:r>
              <w:rPr>
                <w:bCs/>
                <w:b/>
              </w:rPr>
              <w:t xml:space="preserve">Instance</w:t>
            </w:r>
          </w:p>
        </w:tc>
        <w:tc>
          <w:tcPr/>
          <w:p>
            <w:pPr>
              <w:pStyle w:val="Compact"/>
              <w:jc w:val="left"/>
            </w:pPr>
            <w:r>
              <w:rPr>
                <w:rStyle w:val="VerbatimChar"/>
              </w:rPr>
              <w:t xml:space="preserve">crn:v1:bluemix:public:quantum-computing:us-east:a/074ad0b4119241ee8fd51258f35aa4a6:97957880-e0cc-4c0e-a07e-f9b8f2da3be4::</w:t>
            </w:r>
          </w:p>
        </w:tc>
      </w:tr>
      <w:tr>
        <w:tc>
          <w:tcPr/>
          <w:p>
            <w:pPr>
              <w:pStyle w:val="Compact"/>
              <w:jc w:val="left"/>
            </w:pPr>
            <w:r>
              <w:rPr>
                <w:bCs/>
                <w:b/>
              </w:rPr>
              <w:t xml:space="preserve">Timestamp</w:t>
            </w:r>
          </w:p>
        </w:tc>
        <w:tc>
          <w:tcPr/>
          <w:p>
            <w:pPr>
              <w:pStyle w:val="Compact"/>
              <w:jc w:val="left"/>
            </w:pPr>
            <w:r>
              <w:t xml:space="preserve">2026-07-18T22:33:56Z</w:t>
            </w:r>
          </w:p>
        </w:tc>
      </w:tr>
      <w:tr>
        <w:tc>
          <w:tcPr/>
          <w:p>
            <w:pPr>
              <w:pStyle w:val="Compact"/>
              <w:jc w:val="left"/>
            </w:pPr>
            <w:r>
              <w:rPr>
                <w:bCs/>
                <w:b/>
              </w:rPr>
              <w:t xml:space="preserve">Total Shots</w:t>
            </w:r>
          </w:p>
        </w:tc>
        <w:tc>
          <w:tcPr/>
          <w:p>
            <w:pPr>
              <w:pStyle w:val="Compact"/>
              <w:jc w:val="left"/>
            </w:pPr>
            <w:r>
              <w:t xml:space="preserve">8000 (4 CHSH settings × 2000 shots/setting)</w:t>
            </w:r>
          </w:p>
        </w:tc>
      </w:tr>
      <w:tr>
        <w:tc>
          <w:tcPr/>
          <w:p>
            <w:pPr>
              <w:pStyle w:val="Compact"/>
              <w:jc w:val="left"/>
            </w:pPr>
            <w:r>
              <w:rPr>
                <w:bCs/>
                <w:b/>
              </w:rPr>
              <w:t xml:space="preserve">Unique 2-qubit Outcomes per Setting</w:t>
            </w:r>
          </w:p>
        </w:tc>
        <w:tc>
          <w:tcPr/>
          <w:p>
            <w:pPr>
              <w:pStyle w:val="Compact"/>
              <w:jc w:val="left"/>
            </w:pPr>
            <w:r>
              <w:t xml:space="preserve">ab: 4/4, abp: 4/4, apb: 4/4, apbp: 4/4</w:t>
            </w:r>
          </w:p>
        </w:tc>
      </w:tr>
      <w:tr>
        <w:tc>
          <w:tcPr/>
          <w:p>
            <w:pPr>
              <w:pStyle w:val="Compact"/>
              <w:jc w:val="left"/>
            </w:pPr>
            <w:r>
              <w:rPr>
                <w:bCs/>
                <w:b/>
              </w:rPr>
              <w:t xml:space="preserve">Qubits</w:t>
            </w:r>
          </w:p>
        </w:tc>
        <w:tc>
          <w:tcPr/>
          <w:p>
            <w:pPr>
              <w:pStyle w:val="Compact"/>
              <w:jc w:val="left"/>
            </w:pPr>
            <w:r>
              <w:t xml:space="preserve">0, 1 (logical; transpiler maps to physical layout)</w:t>
            </w:r>
          </w:p>
        </w:tc>
      </w:tr>
    </w:tbl>
    <w:p>
      <w:r>
        <w:pict>
          <v:rect style="width:0;height:1.5pt" o:hralign="center" o:hrstd="t" o:hr="t"/>
        </w:pict>
      </w:r>
    </w:p>
    <w:bookmarkEnd w:id="21"/>
    <w:bookmarkStart w:id="23" w:name="chsh-bell-test-results"/>
    <w:p>
      <w:pPr>
        <w:pStyle w:val="Heading2"/>
      </w:pPr>
      <w:r>
        <w:t xml:space="preserve">CHSH Bell Test Results</w:t>
      </w:r>
    </w:p>
    <w:p>
      <w:pPr>
        <w:pStyle w:val="FirstParagraph"/>
      </w:pPr>
      <w:r>
        <w:t xml:space="preserve">The CHSH Bell-inequality parameter</w:t>
      </w:r>
      <w:r>
        <w:t xml:space="preserve"> </w:t>
      </w:r>
      <w:r>
        <w:rPr>
          <w:bCs/>
          <w:b/>
        </w:rPr>
        <w:t xml:space="preserve">S</w:t>
      </w:r>
      <w:r>
        <w:t xml:space="preserve"> </w:t>
      </w:r>
      <w:r>
        <w:t xml:space="preserve">is computed as:</w:t>
      </w:r>
    </w:p>
    <w:p>
      <w:pPr>
        <w:pStyle w:val="BodyText"/>
      </w:pPr>
      <w:r>
        <w:rPr>
          <w:bCs/>
          <w:b/>
        </w:rPr>
        <w:t xml:space="preserve">S = E(a,b) − E(a,b′) + E(a′,b) + E(a′,b′)</w:t>
      </w:r>
    </w:p>
    <w:p>
      <w:pPr>
        <w:pStyle w:val="BodyText"/>
      </w:pPr>
      <w:r>
        <w:t xml:space="preserve">where each</w:t>
      </w:r>
      <w:r>
        <w:t xml:space="preserve"> </w:t>
      </w:r>
      <w:r>
        <w:rPr>
          <w:bCs/>
          <w:b/>
        </w:rPr>
        <w:t xml:space="preserve">E(α,β)</w:t>
      </w:r>
      <w:r>
        <w:t xml:space="preserve"> </w:t>
      </w:r>
      <w:r>
        <w:t xml:space="preserve">is the expectation value of the product of Alice’s and Bob’s measurements for setting pair (α,β).</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rPr>
                <w:bCs/>
                <w:b/>
              </w:rPr>
              <w:t xml:space="preserve">S</w:t>
            </w:r>
          </w:p>
        </w:tc>
        <w:tc>
          <w:tcPr/>
          <w:p>
            <w:pPr>
              <w:pStyle w:val="Compact"/>
              <w:jc w:val="left"/>
            </w:pPr>
            <w:r>
              <w:rPr>
                <w:bCs/>
                <w:b/>
              </w:rPr>
              <w:t xml:space="preserve">2.545</w:t>
            </w:r>
          </w:p>
        </w:tc>
      </w:tr>
      <w:tr>
        <w:tc>
          <w:tcPr/>
          <w:p>
            <w:pPr>
              <w:pStyle w:val="Compact"/>
              <w:jc w:val="left"/>
            </w:pPr>
            <w:r>
              <w:rPr>
                <w:bCs/>
                <w:b/>
              </w:rPr>
              <w:t xml:space="preserve">σ(S)</w:t>
            </w:r>
          </w:p>
        </w:tc>
        <w:tc>
          <w:tcPr/>
          <w:p>
            <w:pPr>
              <w:pStyle w:val="Compact"/>
              <w:jc w:val="left"/>
            </w:pPr>
            <w:r>
              <w:t xml:space="preserve">0.03449</w:t>
            </w:r>
          </w:p>
        </w:tc>
      </w:tr>
      <w:tr>
        <w:tc>
          <w:tcPr/>
          <w:p>
            <w:pPr>
              <w:pStyle w:val="Compact"/>
              <w:jc w:val="left"/>
            </w:pPr>
            <w:r>
              <w:rPr>
                <w:bCs/>
                <w:b/>
              </w:rPr>
              <w:t xml:space="preserve">Classical bound</w:t>
            </w:r>
          </w:p>
        </w:tc>
        <w:tc>
          <w:tcPr/>
          <w:p>
            <w:pPr>
              <w:pStyle w:val="Compact"/>
              <w:jc w:val="left"/>
            </w:pPr>
            <w:r>
              <w:t xml:space="preserve">2.0</w:t>
            </w:r>
          </w:p>
        </w:tc>
      </w:tr>
      <w:tr>
        <w:tc>
          <w:tcPr/>
          <w:p>
            <w:pPr>
              <w:pStyle w:val="Compact"/>
              <w:jc w:val="left"/>
            </w:pPr>
            <w:r>
              <w:rPr>
                <w:bCs/>
                <w:b/>
              </w:rPr>
              <w:t xml:space="preserve">Tsirelson bound</w:t>
            </w:r>
          </w:p>
        </w:tc>
        <w:tc>
          <w:tcPr/>
          <w:p>
            <w:pPr>
              <w:pStyle w:val="Compact"/>
              <w:jc w:val="left"/>
            </w:pPr>
            <w:r>
              <w:t xml:space="preserve">2.8284</w:t>
            </w:r>
          </w:p>
        </w:tc>
      </w:tr>
      <w:tr>
        <w:tc>
          <w:tcPr/>
          <w:p>
            <w:pPr>
              <w:pStyle w:val="Compact"/>
              <w:jc w:val="left"/>
            </w:pPr>
            <w:r>
              <w:rPr>
                <w:bCs/>
                <w:b/>
              </w:rPr>
              <w:t xml:space="preserve">Violation strength</w:t>
            </w:r>
          </w:p>
        </w:tc>
        <w:tc>
          <w:tcPr/>
          <w:p>
            <w:pPr>
              <w:pStyle w:val="Compact"/>
              <w:jc w:val="left"/>
            </w:pPr>
            <w:r>
              <w:rPr>
                <w:bCs/>
                <w:b/>
              </w:rPr>
              <w:t xml:space="preserve">15.8 σ</w:t>
            </w:r>
            <w:r>
              <w:t xml:space="preserve"> </w:t>
            </w:r>
            <w:r>
              <w:t xml:space="preserve">above classical</w:t>
            </w:r>
          </w:p>
        </w:tc>
      </w:tr>
      <w:tr>
        <w:tc>
          <w:tcPr/>
          <w:p>
            <w:pPr>
              <w:pStyle w:val="Compact"/>
              <w:jc w:val="left"/>
            </w:pPr>
            <w:r>
              <w:rPr>
                <w:bCs/>
                <w:b/>
              </w:rPr>
              <w:t xml:space="preserve">Bell-certified</w:t>
            </w:r>
          </w:p>
        </w:tc>
        <w:tc>
          <w:tcPr/>
          <w:p>
            <w:pPr>
              <w:pStyle w:val="Compact"/>
              <w:jc w:val="left"/>
            </w:pPr>
            <w:r>
              <w:rPr>
                <w:bCs/>
                <w:b/>
              </w:rPr>
              <w:t xml:space="preserve">True</w:t>
            </w:r>
          </w:p>
        </w:tc>
      </w:tr>
    </w:tbl>
    <w:bookmarkStart w:id="22" w:name="correlators-expectation-values"/>
    <w:p>
      <w:pPr>
        <w:pStyle w:val="Heading3"/>
      </w:pPr>
      <w:r>
        <w:t xml:space="preserve">Correlators (Expectation Values)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Setting Pair</w:t>
            </w:r>
          </w:p>
        </w:tc>
        <w:tc>
          <w:tcPr/>
          <w:p>
            <w:pPr>
              <w:pStyle w:val="Compact"/>
              <w:jc w:val="left"/>
            </w:pPr>
            <w:r>
              <w:t xml:space="preserve">E(α,β)</w:t>
            </w:r>
          </w:p>
        </w:tc>
        <w:tc>
          <w:tcPr/>
          <w:p>
            <w:pPr>
              <w:pStyle w:val="Compact"/>
              <w:jc w:val="left"/>
            </w:pPr>
            <w:r>
              <w:t xml:space="preserve">Shots</w:t>
            </w:r>
          </w:p>
        </w:tc>
        <w:tc>
          <w:tcPr/>
          <w:p>
            <w:pPr>
              <w:pStyle w:val="Compact"/>
              <w:jc w:val="left"/>
            </w:pPr>
            <w:r>
              <w:t xml:space="preserve">Variance</w:t>
            </w:r>
          </w:p>
        </w:tc>
        <w:tc>
          <w:tcPr/>
          <w:p>
            <w:pPr>
              <w:pStyle w:val="Compact"/>
              <w:jc w:val="left"/>
            </w:pPr>
            <w:r>
              <w:t xml:space="preserve">Sign in S</w:t>
            </w:r>
          </w:p>
        </w:tc>
      </w:tr>
      <w:tr>
        <w:tc>
          <w:tcPr/>
          <w:p>
            <w:pPr>
              <w:pStyle w:val="Compact"/>
              <w:jc w:val="left"/>
            </w:pPr>
            <w:r>
              <w:rPr>
                <w:bCs/>
                <w:b/>
              </w:rPr>
              <w:t xml:space="preserve">a,b</w:t>
            </w:r>
          </w:p>
        </w:tc>
        <w:tc>
          <w:tcPr/>
          <w:p>
            <w:pPr>
              <w:pStyle w:val="Compact"/>
              <w:jc w:val="left"/>
            </w:pPr>
            <w:r>
              <w:t xml:space="preserve">+0.621</w:t>
            </w:r>
          </w:p>
        </w:tc>
        <w:tc>
          <w:tcPr/>
          <w:p>
            <w:pPr>
              <w:pStyle w:val="Compact"/>
              <w:jc w:val="left"/>
            </w:pPr>
            <w:r>
              <w:t xml:space="preserve">2000</w:t>
            </w:r>
          </w:p>
        </w:tc>
        <w:tc>
          <w:tcPr/>
          <w:p>
            <w:pPr>
              <w:pStyle w:val="Compact"/>
              <w:jc w:val="left"/>
            </w:pPr>
            <w:r>
              <w:t xml:space="preserve">0.00030718</w:t>
            </w:r>
          </w:p>
        </w:tc>
        <w:tc>
          <w:tcPr/>
          <w:p>
            <w:pPr>
              <w:pStyle w:val="Compact"/>
              <w:jc w:val="left"/>
            </w:pPr>
            <w:r>
              <w:t xml:space="preserve">+1</w:t>
            </w:r>
          </w:p>
        </w:tc>
      </w:tr>
      <w:tr>
        <w:tc>
          <w:tcPr/>
          <w:p>
            <w:pPr>
              <w:pStyle w:val="Compact"/>
              <w:jc w:val="left"/>
            </w:pPr>
            <w:r>
              <w:rPr>
                <w:bCs/>
                <w:b/>
              </w:rPr>
              <w:t xml:space="preserve">a,b′</w:t>
            </w:r>
          </w:p>
        </w:tc>
        <w:tc>
          <w:tcPr/>
          <w:p>
            <w:pPr>
              <w:pStyle w:val="Compact"/>
              <w:jc w:val="left"/>
            </w:pPr>
            <w:r>
              <w:t xml:space="preserve">-0.641</w:t>
            </w:r>
          </w:p>
        </w:tc>
        <w:tc>
          <w:tcPr/>
          <w:p>
            <w:pPr>
              <w:pStyle w:val="Compact"/>
              <w:jc w:val="left"/>
            </w:pPr>
            <w:r>
              <w:t xml:space="preserve">2000</w:t>
            </w:r>
          </w:p>
        </w:tc>
        <w:tc>
          <w:tcPr/>
          <w:p>
            <w:pPr>
              <w:pStyle w:val="Compact"/>
              <w:jc w:val="left"/>
            </w:pPr>
            <w:r>
              <w:t xml:space="preserve">0.00029456</w:t>
            </w:r>
          </w:p>
        </w:tc>
        <w:tc>
          <w:tcPr/>
          <w:p>
            <w:pPr>
              <w:pStyle w:val="Compact"/>
              <w:jc w:val="left"/>
            </w:pPr>
            <w:r>
              <w:t xml:space="preserve">-1</w:t>
            </w:r>
          </w:p>
        </w:tc>
      </w:tr>
      <w:tr>
        <w:tc>
          <w:tcPr/>
          <w:p>
            <w:pPr>
              <w:pStyle w:val="Compact"/>
              <w:jc w:val="left"/>
            </w:pPr>
            <w:r>
              <w:rPr>
                <w:bCs/>
                <w:b/>
              </w:rPr>
              <w:t xml:space="preserve">a′,b</w:t>
            </w:r>
          </w:p>
        </w:tc>
        <w:tc>
          <w:tcPr/>
          <w:p>
            <w:pPr>
              <w:pStyle w:val="Compact"/>
              <w:jc w:val="left"/>
            </w:pPr>
            <w:r>
              <w:t xml:space="preserve">+0.618</w:t>
            </w:r>
          </w:p>
        </w:tc>
        <w:tc>
          <w:tcPr/>
          <w:p>
            <w:pPr>
              <w:pStyle w:val="Compact"/>
              <w:jc w:val="left"/>
            </w:pPr>
            <w:r>
              <w:t xml:space="preserve">2000</w:t>
            </w:r>
          </w:p>
        </w:tc>
        <w:tc>
          <w:tcPr/>
          <w:p>
            <w:pPr>
              <w:pStyle w:val="Compact"/>
              <w:jc w:val="left"/>
            </w:pPr>
            <w:r>
              <w:t xml:space="preserve">0.00030904</w:t>
            </w:r>
          </w:p>
        </w:tc>
        <w:tc>
          <w:tcPr/>
          <w:p>
            <w:pPr>
              <w:pStyle w:val="Compact"/>
              <w:jc w:val="left"/>
            </w:pPr>
            <w:r>
              <w:t xml:space="preserve">+1</w:t>
            </w:r>
          </w:p>
        </w:tc>
      </w:tr>
      <w:tr>
        <w:tc>
          <w:tcPr/>
          <w:p>
            <w:pPr>
              <w:pStyle w:val="Compact"/>
              <w:jc w:val="left"/>
            </w:pPr>
            <w:r>
              <w:rPr>
                <w:bCs/>
                <w:b/>
              </w:rPr>
              <w:t xml:space="preserve">a′,b′</w:t>
            </w:r>
          </w:p>
        </w:tc>
        <w:tc>
          <w:tcPr/>
          <w:p>
            <w:pPr>
              <w:pStyle w:val="Compact"/>
              <w:jc w:val="left"/>
            </w:pPr>
            <w:r>
              <w:t xml:space="preserve">+0.665</w:t>
            </w:r>
          </w:p>
        </w:tc>
        <w:tc>
          <w:tcPr/>
          <w:p>
            <w:pPr>
              <w:pStyle w:val="Compact"/>
              <w:jc w:val="left"/>
            </w:pPr>
            <w:r>
              <w:t xml:space="preserve">2000</w:t>
            </w:r>
          </w:p>
        </w:tc>
        <w:tc>
          <w:tcPr/>
          <w:p>
            <w:pPr>
              <w:pStyle w:val="Compact"/>
              <w:jc w:val="left"/>
            </w:pPr>
            <w:r>
              <w:t xml:space="preserve">0.00027889</w:t>
            </w:r>
          </w:p>
        </w:tc>
        <w:tc>
          <w:tcPr/>
          <w:p>
            <w:pPr>
              <w:pStyle w:val="Compact"/>
              <w:jc w:val="left"/>
            </w:pPr>
            <w:r>
              <w:t xml:space="preserve">+1</w:t>
            </w:r>
          </w:p>
        </w:tc>
      </w:tr>
    </w:tbl>
    <w:p>
      <w:pPr>
        <w:pStyle w:val="BodyText"/>
      </w:pPr>
      <w:r>
        <w:rPr>
          <w:bCs/>
          <w:b/>
        </w:rPr>
        <w:t xml:space="preserve">Measurement angles:</w:t>
      </w:r>
      <w:r>
        <w:t xml:space="preserve"> </w:t>
      </w:r>
      <w:r>
        <w:t xml:space="preserve">- Alice:</w:t>
      </w:r>
      <w:r>
        <w:t xml:space="preserve"> </w:t>
      </w:r>
      <w:r>
        <w:rPr>
          <w:bCs/>
          <w:b/>
        </w:rPr>
        <w:t xml:space="preserve">a = 0</w:t>
      </w:r>
      <w:r>
        <w:t xml:space="preserve">,</w:t>
      </w:r>
      <w:r>
        <w:t xml:space="preserve"> </w:t>
      </w:r>
      <w:r>
        <w:rPr>
          <w:bCs/>
          <w:b/>
        </w:rPr>
        <w:t xml:space="preserve">a′ = π/2</w:t>
      </w:r>
      <w:r>
        <w:t xml:space="preserve"> </w:t>
      </w:r>
      <w:r>
        <w:t xml:space="preserve">- Bob:</w:t>
      </w:r>
      <w:r>
        <w:t xml:space="preserve"> </w:t>
      </w:r>
      <w:r>
        <w:rPr>
          <w:bCs/>
          <w:b/>
        </w:rPr>
        <w:t xml:space="preserve">b = π/4</w:t>
      </w:r>
      <w:r>
        <w:t xml:space="preserve">,</w:t>
      </w:r>
      <w:r>
        <w:t xml:space="preserve"> </w:t>
      </w:r>
      <w:r>
        <w:rPr>
          <w:bCs/>
          <w:b/>
        </w:rPr>
        <w:t xml:space="preserve">b′ = 3π/4</w:t>
      </w:r>
    </w:p>
    <w:p>
      <w:pPr>
        <w:pStyle w:val="BodyText"/>
      </w:pPr>
      <w:r>
        <w:rPr>
          <w:bCs/>
          <w:b/>
        </w:rPr>
        <w:t xml:space="preserve">Certification criteria (all must hold for PASS):</w:t>
      </w:r>
      <w:r>
        <w:t xml:space="preserve"> </w:t>
      </w:r>
      <w:r>
        <w:t xml:space="preserve">1. ✅ |S| &gt; 2 (violation of classical bound)</w:t>
      </w:r>
      <w:r>
        <w:t xml:space="preserve"> </w:t>
      </w:r>
      <w:r>
        <w:t xml:space="preserve">2. ✅ Violation ≥ 5σ statistical significance</w:t>
      </w:r>
      <w:r>
        <w:t xml:space="preserve"> </w:t>
      </w:r>
      <w:r>
        <w:t xml:space="preserve">3. ✅ |S| ≤ Tsirelson + 0.10 tolerance (consistency with quantum theory)</w:t>
      </w:r>
    </w:p>
    <w:p>
      <w:pPr>
        <w:pStyle w:val="BodyText"/>
      </w:pPr>
      <w:r>
        <w:rPr>
          <w:bCs/>
          <w:b/>
        </w:rPr>
        <w:t xml:space="preserve">Scope:</w:t>
      </w:r>
      <w:r>
        <w:t xml:space="preserve"> </w:t>
      </w:r>
      <w:r>
        <w:t xml:space="preserve">This certifies a Bell-inequality violation on the tested backend/circuit/qubits/calibration/shots under</w:t>
      </w:r>
      <w:r>
        <w:t xml:space="preserve"> </w:t>
      </w:r>
      <w:r>
        <w:rPr>
          <w:bCs/>
          <w:b/>
        </w:rPr>
        <w:t xml:space="preserve">fair-sampling</w:t>
      </w:r>
      <w:r>
        <w:t xml:space="preserve"> </w:t>
      </w:r>
      <w:r>
        <w:t xml:space="preserve">and</w:t>
      </w:r>
      <w:r>
        <w:t xml:space="preserve"> </w:t>
      </w:r>
      <w:r>
        <w:rPr>
          <w:bCs/>
          <w:b/>
        </w:rPr>
        <w:t xml:space="preserve">no-signalling</w:t>
      </w:r>
      <w:r>
        <w:t xml:space="preserve"> </w:t>
      </w:r>
      <w:r>
        <w:t xml:space="preserve">assumptions. It is</w:t>
      </w:r>
      <w:r>
        <w:t xml:space="preserve"> </w:t>
      </w:r>
      <w:r>
        <w:rPr>
          <w:bCs/>
          <w:b/>
        </w:rPr>
        <w:t xml:space="preserve">NOT</w:t>
      </w:r>
      <w:r>
        <w:t xml:space="preserve"> </w:t>
      </w:r>
      <w:r>
        <w:t xml:space="preserve">a loophole-free or device-independent certification.</w:t>
      </w:r>
    </w:p>
    <w:p>
      <w:r>
        <w:pict>
          <v:rect style="width:0;height:1.5pt" o:hralign="center" o:hrstd="t" o:hr="t"/>
        </w:pict>
      </w:r>
    </w:p>
    <w:bookmarkEnd w:id="22"/>
    <w:bookmarkEnd w:id="23"/>
    <w:bookmarkStart w:id="26" w:name="X451c188f8bd5c48251221d258eaa331b5fe9e5f"/>
    <w:p>
      <w:pPr>
        <w:pStyle w:val="Heading2"/>
      </w:pPr>
      <w:r>
        <w:t xml:space="preserve">External Witnesses (Third-Party Re-verifiable)</w:t>
      </w:r>
    </w:p>
    <w:bookmarkStart w:id="24" w:name="nist-randomness-beacon"/>
    <w:p>
      <w:pPr>
        <w:pStyle w:val="Heading3"/>
      </w:pPr>
      <w:r>
        <w:t xml:space="preserve">NIST Randomness Beacon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Pulse Index</w:t>
            </w:r>
          </w:p>
        </w:tc>
        <w:tc>
          <w:tcPr/>
          <w:p>
            <w:pPr>
              <w:pStyle w:val="Compact"/>
              <w:jc w:val="left"/>
            </w:pPr>
            <w:r>
              <w:t xml:space="preserve">1865471</w:t>
            </w:r>
          </w:p>
        </w:tc>
      </w:tr>
      <w:tr>
        <w:tc>
          <w:tcPr/>
          <w:p>
            <w:pPr>
              <w:pStyle w:val="Compact"/>
              <w:jc w:val="left"/>
            </w:pPr>
            <w:r>
              <w:rPr>
                <w:bCs/>
                <w:b/>
              </w:rPr>
              <w:t xml:space="preserve">Timestamp</w:t>
            </w:r>
          </w:p>
        </w:tc>
        <w:tc>
          <w:tcPr/>
          <w:p>
            <w:pPr>
              <w:pStyle w:val="Compact"/>
              <w:jc w:val="left"/>
            </w:pPr>
            <w:r>
              <w:t xml:space="preserve">2026-07-18T22:31:00.000Z</w:t>
            </w:r>
          </w:p>
        </w:tc>
      </w:tr>
      <w:tr>
        <w:tc>
          <w:tcPr/>
          <w:p>
            <w:pPr>
              <w:pStyle w:val="Compact"/>
              <w:jc w:val="left"/>
            </w:pPr>
            <w:r>
              <w:rPr>
                <w:bCs/>
                <w:b/>
              </w:rPr>
              <w:t xml:space="preserve">Output Value</w:t>
            </w:r>
          </w:p>
        </w:tc>
        <w:tc>
          <w:tcPr/>
          <w:p>
            <w:pPr>
              <w:pStyle w:val="Compact"/>
              <w:jc w:val="left"/>
            </w:pPr>
            <w:r>
              <w:rPr>
                <w:rStyle w:val="VerbatimChar"/>
              </w:rPr>
              <w:t xml:space="preserve">18665602CA473D9F1962128AB8AAF1BF8C239C581DC2AA3F17FC6E69199E2D0B...</w:t>
            </w:r>
          </w:p>
        </w:tc>
      </w:tr>
      <w:tr>
        <w:tc>
          <w:tcPr/>
          <w:p>
            <w:pPr>
              <w:pStyle w:val="Compact"/>
              <w:jc w:val="left"/>
            </w:pPr>
            <w:r>
              <w:rPr>
                <w:bCs/>
                <w:b/>
              </w:rPr>
              <w:t xml:space="preserve">Signature (First 64 chars)</w:t>
            </w:r>
          </w:p>
        </w:tc>
        <w:tc>
          <w:tcPr/>
          <w:p>
            <w:pPr>
              <w:pStyle w:val="Compact"/>
              <w:jc w:val="left"/>
            </w:pPr>
            <w:r>
              <w:rPr>
                <w:rStyle w:val="VerbatimChar"/>
              </w:rPr>
              <w:t xml:space="preserve">N/A...</w:t>
            </w:r>
          </w:p>
        </w:tc>
      </w:tr>
      <w:tr>
        <w:tc>
          <w:tcPr/>
          <w:p>
            <w:pPr>
              <w:pStyle w:val="Compact"/>
              <w:jc w:val="left"/>
            </w:pPr>
            <w:r>
              <w:rPr>
                <w:bCs/>
                <w:b/>
              </w:rPr>
              <w:t xml:space="preserve">NIST Hash (SHA-256)</w:t>
            </w:r>
          </w:p>
        </w:tc>
        <w:tc>
          <w:tcPr/>
          <w:p>
            <w:pPr>
              <w:pStyle w:val="Compact"/>
              <w:jc w:val="left"/>
            </w:pPr>
            <w:r>
              <w:rPr>
                <w:rStyle w:val="VerbatimChar"/>
              </w:rPr>
              <w:t xml:space="preserve">f6f2d192f2b897cdff35e7da53f83dd7c9b5288aaf69fd2eabb4b21fd5043937</w:t>
            </w:r>
          </w:p>
        </w:tc>
      </w:tr>
      <w:tr>
        <w:tc>
          <w:tcPr/>
          <w:p>
            <w:pPr>
              <w:pStyle w:val="Compact"/>
              <w:jc w:val="left"/>
            </w:pPr>
            <w:r>
              <w:rPr>
                <w:bCs/>
                <w:b/>
              </w:rPr>
              <w:t xml:space="preserve">Re-verification URL</w:t>
            </w:r>
          </w:p>
        </w:tc>
        <w:tc>
          <w:tcPr/>
          <w:p>
            <w:pPr>
              <w:pStyle w:val="Compact"/>
              <w:jc w:val="left"/>
            </w:pPr>
            <w:r>
              <w:t xml:space="preserve">https://beacon.nist.gov/beacon/2.0/pulse/time/2026-07-18T22%3A31%3A00.000Z</w:t>
            </w:r>
          </w:p>
        </w:tc>
      </w:tr>
    </w:tbl>
    <w:p>
      <w:pPr>
        <w:pStyle w:val="BodyText"/>
      </w:pPr>
      <w:r>
        <w:t xml:space="preserve">The NIST beacon pulse is a</w:t>
      </w:r>
      <w:r>
        <w:t xml:space="preserve"> </w:t>
      </w:r>
      <w:r>
        <w:rPr>
          <w:bCs/>
          <w:b/>
        </w:rPr>
        <w:t xml:space="preserve">publicly timestamped, signed random value</w:t>
      </w:r>
      <w:r>
        <w:t xml:space="preserve"> </w:t>
      </w:r>
      <w:r>
        <w:t xml:space="preserve">broadcast every 60 seconds. The</w:t>
      </w:r>
      <w:r>
        <w:t xml:space="preserve"> </w:t>
      </w:r>
      <w:r>
        <w:rPr>
          <w:rStyle w:val="VerbatimChar"/>
        </w:rPr>
        <w:t xml:space="preserve">nist_hash</w:t>
      </w:r>
      <w:r>
        <w:t xml:space="preserve"> </w:t>
      </w:r>
      <w:r>
        <w:t xml:space="preserve">in the ProofRecord is computed as SHA-256(</w:t>
      </w:r>
      <w:r>
        <w:rPr>
          <w:rStyle w:val="VerbatimChar"/>
        </w:rPr>
        <w:t xml:space="preserve">pulseIndex || timeStamp || outputValue || signatureValue</w:t>
      </w:r>
      <w:r>
        <w:t xml:space="preserve">), allowing anyone to fetch the same pulse and verify the hash.</w:t>
      </w:r>
    </w:p>
    <w:bookmarkEnd w:id="24"/>
    <w:bookmarkStart w:id="25" w:name="ligogwosc-astrophysical-witness-gw150914"/>
    <w:p>
      <w:pPr>
        <w:pStyle w:val="Heading3"/>
      </w:pPr>
      <w:r>
        <w:t xml:space="preserve">LIGO/GWOSC Astrophysical Witness (GW150914)</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Event</w:t>
            </w:r>
          </w:p>
        </w:tc>
        <w:tc>
          <w:tcPr/>
          <w:p>
            <w:pPr>
              <w:pStyle w:val="Compact"/>
              <w:jc w:val="left"/>
            </w:pPr>
            <w:r>
              <w:t xml:space="preserve">GW150914 (first confirmed gravitational-wave detection, black-hole merger)</w:t>
            </w:r>
          </w:p>
        </w:tc>
      </w:tr>
      <w:tr>
        <w:tc>
          <w:tcPr/>
          <w:p>
            <w:pPr>
              <w:pStyle w:val="Compact"/>
              <w:jc w:val="left"/>
            </w:pPr>
            <w:r>
              <w:rPr>
                <w:bCs/>
                <w:b/>
              </w:rPr>
              <w:t xml:space="preserve">Detector</w:t>
            </w:r>
          </w:p>
        </w:tc>
        <w:tc>
          <w:tcPr/>
          <w:p>
            <w:pPr>
              <w:pStyle w:val="Compact"/>
              <w:jc w:val="left"/>
            </w:pPr>
            <w:r>
              <w:t xml:space="preserve">LIGO Hanford (H1)</w:t>
            </w:r>
          </w:p>
        </w:tc>
      </w:tr>
      <w:tr>
        <w:tc>
          <w:tcPr/>
          <w:p>
            <w:pPr>
              <w:pStyle w:val="Compact"/>
              <w:jc w:val="left"/>
            </w:pPr>
            <w:r>
              <w:rPr>
                <w:bCs/>
                <w:b/>
              </w:rPr>
              <w:t xml:space="preserve">File URL</w:t>
            </w:r>
          </w:p>
        </w:tc>
        <w:tc>
          <w:tcPr/>
          <w:p>
            <w:pPr>
              <w:pStyle w:val="Compact"/>
              <w:jc w:val="left"/>
            </w:pPr>
            <w:r>
              <w:t xml:space="preserve">https://gwosc.org/s/events/GW150914/H-H1_LOSC_4_V1-1126259446-32.hdf5</w:t>
            </w:r>
          </w:p>
        </w:tc>
      </w:tr>
      <w:tr>
        <w:tc>
          <w:tcPr/>
          <w:p>
            <w:pPr>
              <w:pStyle w:val="Compact"/>
              <w:jc w:val="left"/>
            </w:pPr>
            <w:r>
              <w:rPr>
                <w:bCs/>
                <w:b/>
              </w:rPr>
              <w:t xml:space="preserve">File Size</w:t>
            </w:r>
          </w:p>
        </w:tc>
        <w:tc>
          <w:tcPr/>
          <w:p>
            <w:pPr>
              <w:pStyle w:val="Compact"/>
              <w:jc w:val="left"/>
            </w:pPr>
            <w:r>
              <w:t xml:space="preserve">1036463 bytes</w:t>
            </w:r>
          </w:p>
        </w:tc>
      </w:tr>
      <w:tr>
        <w:tc>
          <w:tcPr/>
          <w:p>
            <w:pPr>
              <w:pStyle w:val="Compact"/>
              <w:jc w:val="left"/>
            </w:pPr>
            <w:r>
              <w:rPr>
                <w:bCs/>
                <w:b/>
              </w:rPr>
              <w:t xml:space="preserve">File SHA-256</w:t>
            </w:r>
          </w:p>
        </w:tc>
        <w:tc>
          <w:tcPr/>
          <w:p>
            <w:pPr>
              <w:pStyle w:val="Compact"/>
              <w:jc w:val="left"/>
            </w:pPr>
            <w:r>
              <w:rPr>
                <w:rStyle w:val="VerbatimChar"/>
              </w:rPr>
              <w:t xml:space="preserve">66c4b196d8b9e4d6be99c5a73173ad7a8285e6457ef55dc7710a6ebc057db669</w:t>
            </w:r>
          </w:p>
        </w:tc>
      </w:tr>
      <w:tr>
        <w:tc>
          <w:tcPr/>
          <w:p>
            <w:pPr>
              <w:pStyle w:val="Compact"/>
              <w:jc w:val="left"/>
            </w:pPr>
            <w:r>
              <w:rPr>
                <w:bCs/>
                <w:b/>
              </w:rPr>
              <w:t xml:space="preserve">HDF5 Strain Dataset</w:t>
            </w:r>
          </w:p>
        </w:tc>
        <w:tc>
          <w:tcPr/>
          <w:p>
            <w:pPr>
              <w:pStyle w:val="Compact"/>
              <w:jc w:val="left"/>
            </w:pPr>
            <w:r>
              <w:rPr>
                <w:rStyle w:val="VerbatimChar"/>
              </w:rPr>
              <w:t xml:space="preserve">/strain/Strain</w:t>
            </w:r>
          </w:p>
        </w:tc>
      </w:tr>
      <w:tr>
        <w:tc>
          <w:tcPr/>
          <w:p>
            <w:pPr>
              <w:pStyle w:val="Compact"/>
              <w:jc w:val="left"/>
            </w:pPr>
            <w:r>
              <w:rPr>
                <w:bCs/>
                <w:b/>
              </w:rPr>
              <w:t xml:space="preserve">Strain Window</w:t>
            </w:r>
          </w:p>
        </w:tc>
        <w:tc>
          <w:tcPr/>
          <w:p>
            <w:pPr>
              <w:pStyle w:val="Compact"/>
              <w:jc w:val="left"/>
            </w:pPr>
            <w:r>
              <w:t xml:space="preserve">offset=65536, samples=4096, quantization=1e-24</w:t>
            </w:r>
          </w:p>
        </w:tc>
      </w:tr>
      <w:tr>
        <w:tc>
          <w:tcPr/>
          <w:p>
            <w:pPr>
              <w:pStyle w:val="Compact"/>
              <w:jc w:val="left"/>
            </w:pPr>
            <w:r>
              <w:rPr>
                <w:bCs/>
                <w:b/>
              </w:rPr>
              <w:t xml:space="preserve">Strain SHA-256</w:t>
            </w:r>
          </w:p>
        </w:tc>
        <w:tc>
          <w:tcPr/>
          <w:p>
            <w:pPr>
              <w:pStyle w:val="Compact"/>
              <w:jc w:val="left"/>
            </w:pPr>
            <w:r>
              <w:rPr>
                <w:rStyle w:val="VerbatimChar"/>
              </w:rPr>
              <w:t xml:space="preserve">5c628ac3804475ad7fa8e6bb997f165934eda83644f518a2006e712b98406e9b</w:t>
            </w:r>
          </w:p>
        </w:tc>
      </w:tr>
      <w:tr>
        <w:tc>
          <w:tcPr/>
          <w:p>
            <w:pPr>
              <w:pStyle w:val="Compact"/>
              <w:jc w:val="left"/>
            </w:pPr>
            <w:r>
              <w:rPr>
                <w:bCs/>
                <w:b/>
              </w:rPr>
              <w:t xml:space="preserve">Astro Hash (SHA-256)</w:t>
            </w:r>
          </w:p>
        </w:tc>
        <w:tc>
          <w:tcPr/>
          <w:p>
            <w:pPr>
              <w:pStyle w:val="Compact"/>
              <w:jc w:val="left"/>
            </w:pPr>
            <w:r>
              <w:rPr>
                <w:rStyle w:val="VerbatimChar"/>
              </w:rPr>
              <w:t xml:space="preserve">4e9f0a786650a67913f866971a756113ed080dfd90e231710654ff0c80ffeb40</w:t>
            </w:r>
          </w:p>
        </w:tc>
      </w:tr>
    </w:tbl>
    <w:p>
      <w:pPr>
        <w:pStyle w:val="BodyText"/>
      </w:pPr>
      <w:r>
        <w:t xml:space="preserve">The GWOSC (Gravitational Wave Open Science Center) hosts</w:t>
      </w:r>
      <w:r>
        <w:t xml:space="preserve"> </w:t>
      </w:r>
      <w:r>
        <w:rPr>
          <w:bCs/>
          <w:b/>
        </w:rPr>
        <w:t xml:space="preserve">byte-exact, version-controlled open data</w:t>
      </w:r>
      <w:r>
        <w:t xml:space="preserve"> </w:t>
      </w:r>
      <w:r>
        <w:t xml:space="preserve">from LIGO/Virgo detectors. The</w:t>
      </w:r>
      <w:r>
        <w:t xml:space="preserve"> </w:t>
      </w:r>
      <w:r>
        <w:rPr>
          <w:rStyle w:val="VerbatimChar"/>
        </w:rPr>
        <w:t xml:space="preserve">astro_hash</w:t>
      </w:r>
      <w:r>
        <w:t xml:space="preserve"> </w:t>
      </w:r>
      <w:r>
        <w:t xml:space="preserve">in the ProofRecord is computed as SHA-256(</w:t>
      </w:r>
      <w:r>
        <w:rPr>
          <w:rStyle w:val="VerbatimChar"/>
        </w:rPr>
        <w:t xml:space="preserve">file_sha256 || strain_sha256 || url || metadata</w:t>
      </w:r>
      <w:r>
        <w:t xml:space="preserve">). Anyone can download the same HDF5 file, read the same strain window, and verify the hash. This witness binds the authorization nonce to</w:t>
      </w:r>
      <w:r>
        <w:t xml:space="preserve"> </w:t>
      </w:r>
      <w:r>
        <w:rPr>
          <w:bCs/>
          <w:b/>
        </w:rPr>
        <w:t xml:space="preserve">publicly archived astrophysical data</w:t>
      </w:r>
      <w:r>
        <w:t xml:space="preserve"> </w:t>
      </w:r>
      <w:r>
        <w:t xml:space="preserve">from a historic detection event.</w:t>
      </w:r>
    </w:p>
    <w:p>
      <w:pPr>
        <w:pStyle w:val="BodyText"/>
      </w:pPr>
      <w:r>
        <w:rPr>
          <w:bCs/>
          <w:b/>
        </w:rPr>
        <w:t xml:space="preserve">Scope:</w:t>
      </w:r>
      <w:r>
        <w:t xml:space="preserve"> </w:t>
      </w:r>
      <w:r>
        <w:t xml:space="preserve">The astro segment is a</w:t>
      </w:r>
      <w:r>
        <w:t xml:space="preserve"> </w:t>
      </w:r>
      <w:r>
        <w:rPr>
          <w:bCs/>
          <w:b/>
        </w:rPr>
        <w:t xml:space="preserve">PROVENANCE WITNESS</w:t>
      </w:r>
      <w:r>
        <w:t xml:space="preserve"> </w:t>
      </w:r>
      <w:r>
        <w:t xml:space="preserve">only. It does NOT constitute a detection claim, cosmological measurement, or independent verification of the GW150914 event. The data is used as a</w:t>
      </w:r>
      <w:r>
        <w:t xml:space="preserve"> </w:t>
      </w:r>
      <w:r>
        <w:rPr>
          <w:bCs/>
          <w:b/>
        </w:rPr>
        <w:t xml:space="preserve">publicly re-verifiable byte anchor</w:t>
      </w:r>
      <w:r>
        <w:t xml:space="preserve"> </w:t>
      </w:r>
      <w:r>
        <w:t xml:space="preserve">for the nonce.</w:t>
      </w:r>
    </w:p>
    <w:p>
      <w:r>
        <w:pict>
          <v:rect style="width:0;height:1.5pt" o:hralign="center" o:hrstd="t" o:hr="t"/>
        </w:pict>
      </w:r>
    </w:p>
    <w:bookmarkEnd w:id="25"/>
    <w:bookmarkEnd w:id="26"/>
    <w:bookmarkStart w:id="27" w:name="proofrecord"/>
    <w:p>
      <w:pPr>
        <w:pStyle w:val="Heading2"/>
      </w:pPr>
      <w:r>
        <w:t xml:space="preserve">ProofRecord</w:t>
      </w:r>
    </w:p>
    <w:p>
      <w:pPr>
        <w:pStyle w:val="FirstParagraph"/>
      </w:pPr>
      <w:r>
        <w:rPr>
          <w:bCs/>
          <w:b/>
        </w:rPr>
        <w:t xml:space="preserve">Schema:</w:t>
      </w:r>
      <w:r>
        <w:t xml:space="preserve"> </w:t>
      </w:r>
      <w:r>
        <w:rPr>
          <w:rStyle w:val="VerbatimChar"/>
        </w:rPr>
        <w:t xml:space="preserve">witness-proofrecord-3.0</w:t>
      </w:r>
    </w:p>
    <w:p>
      <w:pPr>
        <w:pStyle w:val="SourceCode"/>
      </w:pPr>
      <w:r>
        <w:rPr>
          <w:rStyle w:val="FunctionTok"/>
        </w:rPr>
        <w:t xml:space="preserve">{</w:t>
      </w:r>
      <w:r>
        <w:br/>
      </w:r>
      <w:r>
        <w:rPr>
          <w:rStyle w:val="NormalTok"/>
        </w:rPr>
        <w:t xml:space="preserve">  </w:t>
      </w:r>
      <w:r>
        <w:rPr>
          <w:rStyle w:val="DataTypeTok"/>
        </w:rPr>
        <w:t xml:space="preserve">"cosmic_nonce"</w:t>
      </w:r>
      <w:r>
        <w:rPr>
          <w:rStyle w:val="FunctionTok"/>
        </w:rPr>
        <w:t xml:space="preserve">:</w:t>
      </w:r>
      <w:r>
        <w:rPr>
          <w:rStyle w:val="NormalTok"/>
        </w:rPr>
        <w:t xml:space="preserve"> </w:t>
      </w:r>
      <w:r>
        <w:rPr>
          <w:rStyle w:val="StringTok"/>
        </w:rPr>
        <w:t xml:space="preserve">"6876050a7f8ebadf79b1bd702346ae42563019725c03d29bd8d26dadc8c7f686"</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"d9dvul2neu4c739nrdl0"</w:t>
      </w:r>
      <w:r>
        <w:rPr>
          <w:rStyle w:val="FunctionTok"/>
        </w:rPr>
        <w:t xml:space="preserve">,</w:t>
      </w:r>
      <w:r>
        <w:br/>
      </w:r>
      <w:r>
        <w:rPr>
          <w:rStyle w:val="NormalTok"/>
        </w:rPr>
        <w:t xml:space="preserve">  </w:t>
      </w:r>
      <w:r>
        <w:rPr>
          <w:rStyle w:val="DataTypeTok"/>
        </w:rPr>
        <w:t xml:space="preserve">"backend"</w:t>
      </w:r>
      <w:r>
        <w:rPr>
          <w:rStyle w:val="FunctionTok"/>
        </w:rPr>
        <w:t xml:space="preserve">:</w:t>
      </w:r>
      <w:r>
        <w:rPr>
          <w:rStyle w:val="NormalTok"/>
        </w:rPr>
        <w:t xml:space="preserve"> </w:t>
      </w:r>
      <w:r>
        <w:rPr>
          <w:rStyle w:val="StringTok"/>
        </w:rPr>
        <w:t xml:space="preserve">"ibm_fez"</w:t>
      </w:r>
      <w:r>
        <w:rPr>
          <w:rStyle w:val="FunctionTok"/>
        </w:rPr>
        <w:t xml:space="preserve">,</w:t>
      </w:r>
      <w:r>
        <w:br/>
      </w:r>
      <w:r>
        <w:rPr>
          <w:rStyle w:val="NormalTok"/>
        </w:rPr>
        <w:t xml:space="preserve">  </w:t>
      </w:r>
      <w:r>
        <w:rPr>
          <w:rStyle w:val="DataTypeTok"/>
        </w:rPr>
        <w:t xml:space="preserve">"provider_instance"</w:t>
      </w:r>
      <w:r>
        <w:rPr>
          <w:rStyle w:val="FunctionTok"/>
        </w:rPr>
        <w:t xml:space="preserve">:</w:t>
      </w:r>
      <w:r>
        <w:rPr>
          <w:rStyle w:val="NormalTok"/>
        </w:rPr>
        <w:t xml:space="preserve"> </w:t>
      </w:r>
      <w:r>
        <w:rPr>
          <w:rStyle w:val="StringTok"/>
        </w:rPr>
        <w:t xml:space="preserve">"crn:v1:bluemix:public:quantum-computing:us-east:a/074ad0b4119241ee8fd51258f35aa4a6:97957880-e0cc-4c0e-a07e-f9b8f2da3be4::"</w:t>
      </w:r>
      <w:r>
        <w:rPr>
          <w:rStyle w:val="FunctionTok"/>
        </w:rPr>
        <w:t xml:space="preserve">,</w:t>
      </w:r>
      <w:r>
        <w:br/>
      </w:r>
      <w:r>
        <w:rPr>
          <w:rStyle w:val="NormalTok"/>
        </w:rPr>
        <w:t xml:space="preserve">  </w:t>
      </w:r>
      <w:r>
        <w:rPr>
          <w:rStyle w:val="DataTypeTok"/>
        </w:rPr>
        <w:t xml:space="preserve">"calibration_hash"</w:t>
      </w:r>
      <w:r>
        <w:rPr>
          <w:rStyle w:val="FunctionTok"/>
        </w:rPr>
        <w:t xml:space="preserve">:</w:t>
      </w:r>
      <w:r>
        <w:rPr>
          <w:rStyle w:val="NormalTok"/>
        </w:rPr>
        <w:t xml:space="preserve"> </w:t>
      </w:r>
      <w:r>
        <w:rPr>
          <w:rStyle w:val="StringTok"/>
        </w:rPr>
        <w:t xml:space="preserve">"dc4f3463a3812377225a2fd6ba91dd8e94eca99b244cc7fa6ff2d3cc9adf7a9e"</w:t>
      </w:r>
      <w:r>
        <w:rPr>
          <w:rStyle w:val="FunctionTok"/>
        </w:rPr>
        <w:t xml:space="preserve">,</w:t>
      </w:r>
      <w:r>
        <w:br/>
      </w:r>
      <w:r>
        <w:rPr>
          <w:rStyle w:val="NormalTok"/>
        </w:rPr>
        <w:t xml:space="preserve">  </w:t>
      </w:r>
      <w:r>
        <w:rPr>
          <w:rStyle w:val="DataTypeTok"/>
        </w:rPr>
        <w:t xml:space="preserve">"raw_counts_hash"</w:t>
      </w:r>
      <w:r>
        <w:rPr>
          <w:rStyle w:val="FunctionTok"/>
        </w:rPr>
        <w:t xml:space="preserve">:</w:t>
      </w:r>
      <w:r>
        <w:rPr>
          <w:rStyle w:val="NormalTok"/>
        </w:rPr>
        <w:t xml:space="preserve"> </w:t>
      </w:r>
      <w:r>
        <w:rPr>
          <w:rStyle w:val="StringTok"/>
        </w:rPr>
        <w:t xml:space="preserve">"6c98687097c328004c4263da1d2e526173359d301fef328ab1ff9fb8bc40e1a1"</w:t>
      </w:r>
      <w:r>
        <w:rPr>
          <w:rStyle w:val="FunctionTok"/>
        </w:rPr>
        <w:t xml:space="preserve">,</w:t>
      </w:r>
      <w:r>
        <w:br/>
      </w:r>
      <w:r>
        <w:rPr>
          <w:rStyle w:val="NormalTok"/>
        </w:rPr>
        <w:t xml:space="preserve">  </w:t>
      </w:r>
      <w:r>
        <w:rPr>
          <w:rStyle w:val="DataTypeTok"/>
        </w:rPr>
        <w:t xml:space="preserve">"nist_hash"</w:t>
      </w:r>
      <w:r>
        <w:rPr>
          <w:rStyle w:val="FunctionTok"/>
        </w:rPr>
        <w:t xml:space="preserve">:</w:t>
      </w:r>
      <w:r>
        <w:rPr>
          <w:rStyle w:val="NormalTok"/>
        </w:rPr>
        <w:t xml:space="preserve"> </w:t>
      </w:r>
      <w:r>
        <w:rPr>
          <w:rStyle w:val="StringTok"/>
        </w:rPr>
        <w:t xml:space="preserve">"f6f2d192f2b897cdff35e7da53f83dd7c9b5288aaf69fd2eabb4b21fd5043937"</w:t>
      </w:r>
      <w:r>
        <w:rPr>
          <w:rStyle w:val="FunctionTok"/>
        </w:rPr>
        <w:t xml:space="preserve">,</w:t>
      </w:r>
      <w:r>
        <w:br/>
      </w:r>
      <w:r>
        <w:rPr>
          <w:rStyle w:val="NormalTok"/>
        </w:rPr>
        <w:t xml:space="preserve">  </w:t>
      </w:r>
      <w:r>
        <w:rPr>
          <w:rStyle w:val="DataTypeTok"/>
        </w:rPr>
        <w:t xml:space="preserve">"astro_hash"</w:t>
      </w:r>
      <w:r>
        <w:rPr>
          <w:rStyle w:val="FunctionTok"/>
        </w:rPr>
        <w:t xml:space="preserve">:</w:t>
      </w:r>
      <w:r>
        <w:rPr>
          <w:rStyle w:val="NormalTok"/>
        </w:rPr>
        <w:t xml:space="preserve"> </w:t>
      </w:r>
      <w:r>
        <w:rPr>
          <w:rStyle w:val="StringTok"/>
        </w:rPr>
        <w:t xml:space="preserve">"4e9f0a786650a67913f866971a756113ed080dfd90e231710654ff0c80ffeb40"</w:t>
      </w:r>
      <w:r>
        <w:rPr>
          <w:rStyle w:val="FunctionTok"/>
        </w:rPr>
        <w:t xml:space="preserve">,</w:t>
      </w:r>
      <w:r>
        <w:br/>
      </w:r>
      <w:r>
        <w:rPr>
          <w:rStyle w:val="NormalTok"/>
        </w:rPr>
        <w:t xml:space="preserve">  </w:t>
      </w:r>
      <w:r>
        <w:rPr>
          <w:rStyle w:val="DataTypeTok"/>
        </w:rPr>
        <w:t xml:space="preserve">"chsh"</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"bell_certified"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"context_id"</w:t>
      </w:r>
      <w:r>
        <w:rPr>
          <w:rStyle w:val="FunctionTok"/>
        </w:rPr>
        <w:t xml:space="preserve">:</w:t>
      </w:r>
      <w:r>
        <w:rPr>
          <w:rStyle w:val="NormalTok"/>
        </w:rPr>
        <w:t xml:space="preserve"> </w:t>
      </w:r>
      <w:r>
        <w:rPr>
          <w:rStyle w:val="StringTok"/>
        </w:rPr>
        <w:t xml:space="preserve">"witness-3-cosmic-beacon"</w:t>
      </w:r>
      <w:r>
        <w:rPr>
          <w:rStyle w:val="FunctionTok"/>
        </w:rPr>
        <w:t xml:space="preserve">,</w:t>
      </w:r>
      <w:r>
        <w:br/>
      </w:r>
      <w:r>
        <w:rPr>
          <w:rStyle w:val="NormalTok"/>
        </w:rPr>
        <w:t xml:space="preserve">  </w:t>
      </w:r>
      <w:r>
        <w:rPr>
          <w:rStyle w:val="DataTypeTok"/>
        </w:rPr>
        <w:t xml:space="preserve">"timestamp_utc"</w:t>
      </w:r>
      <w:r>
        <w:rPr>
          <w:rStyle w:val="FunctionTok"/>
        </w:rPr>
        <w:t xml:space="preserve">:</w:t>
      </w:r>
      <w:r>
        <w:rPr>
          <w:rStyle w:val="NormalTok"/>
        </w:rPr>
        <w:t xml:space="preserve"> </w:t>
      </w:r>
      <w:r>
        <w:rPr>
          <w:rStyle w:val="StringTok"/>
        </w:rPr>
        <w:t xml:space="preserve">"2026-07-18T22:33:56Z"</w:t>
      </w:r>
      <w:r>
        <w:rPr>
          <w:rStyle w:val="FunctionTok"/>
        </w:rPr>
        <w:t xml:space="preserve">,</w:t>
      </w:r>
      <w:r>
        <w:br/>
      </w:r>
      <w:r>
        <w:rPr>
          <w:rStyle w:val="NormalTok"/>
        </w:rPr>
        <w:t xml:space="preserve">  </w:t>
      </w:r>
      <w:r>
        <w:rPr>
          <w:rStyle w:val="DataTypeTok"/>
        </w:rPr>
        <w:t xml:space="preserve">"record_hash"</w:t>
      </w:r>
      <w:r>
        <w:rPr>
          <w:rStyle w:val="FunctionTok"/>
        </w:rPr>
        <w:t xml:space="preserve">:</w:t>
      </w:r>
      <w:r>
        <w:rPr>
          <w:rStyle w:val="NormalTok"/>
        </w:rPr>
        <w:t xml:space="preserve"> </w:t>
      </w:r>
      <w:r>
        <w:rPr>
          <w:rStyle w:val="StringTok"/>
        </w:rPr>
        <w:t xml:space="preserve">"858ffd49fd7517fd58ef242226bd7c680bb5db5850a34256fedffd76df0f1caf"</w:t>
      </w:r>
      <w:r>
        <w:br/>
      </w:r>
      <w:r>
        <w:rPr>
          <w:rStyle w:val="FunctionTok"/>
        </w:rPr>
        <w:t xml:space="preserve">}</w:t>
      </w:r>
    </w:p>
    <w:p>
      <w:pPr>
        <w:pStyle w:val="FirstParagraph"/>
      </w:pPr>
      <w:r>
        <w:rPr>
          <w:bCs/>
          <w:b/>
        </w:rPr>
        <w:t xml:space="preserve">Cosmic Nonce Construction (v3):</w:t>
      </w:r>
      <w:r>
        <w:br/>
      </w:r>
      <w:r>
        <w:rPr>
          <w:rStyle w:val="VerbatimChar"/>
        </w:rPr>
        <w:t xml:space="preserve">cosmic_nonce = SHA-256(LP(raw_counts_hash) || LP(job_id) || LP(calibration_hash) || LP(nist_hash) || LP(astro_hash))</w:t>
      </w:r>
    </w:p>
    <w:p>
      <w:pPr>
        <w:pStyle w:val="BodyText"/>
      </w:pPr>
      <w:r>
        <w:t xml:space="preserve">where</w:t>
      </w:r>
      <w:r>
        <w:t xml:space="preserve"> </w:t>
      </w:r>
      <w:r>
        <w:rPr>
          <w:rStyle w:val="VerbatimChar"/>
        </w:rPr>
        <w:t xml:space="preserve">LP(x)</w:t>
      </w:r>
      <w:r>
        <w:t xml:space="preserve"> </w:t>
      </w:r>
      <w:r>
        <w:t xml:space="preserve">is length-prefixed serialization (prevents boundary-collision attacks). The nonce</w:t>
      </w:r>
      <w:r>
        <w:t xml:space="preserve"> </w:t>
      </w:r>
      <w:r>
        <w:rPr>
          <w:bCs/>
          <w:b/>
        </w:rPr>
        <w:t xml:space="preserve">binds together</w:t>
      </w:r>
      <w:r>
        <w:t xml:space="preserve"> </w:t>
      </w:r>
      <w:r>
        <w:t xml:space="preserve">all five witnesses in a single deterministic, verifiable digest.</w:t>
      </w:r>
    </w:p>
    <w:p>
      <w:r>
        <w:pict>
          <v:rect style="width:0;height:1.5pt" o:hralign="center" o:hrstd="t" o:hr="t"/>
        </w:pict>
      </w:r>
    </w:p>
    <w:bookmarkEnd w:id="27"/>
    <w:bookmarkStart w:id="32" w:name="test-case-verdicts"/>
    <w:p>
      <w:pPr>
        <w:pStyle w:val="Heading2"/>
      </w:pPr>
      <w:r>
        <w:t xml:space="preserve">Test Case Verdicts</w:t>
      </w:r>
    </w:p>
    <w:tbl>
      <w:tblPr>
        <w:tblStyle w:val="Table"/>
        <w:tblW w:type="pct" w:w="5000"/>
        <w:tblLook w:firstRow="1" w:lastRow="0" w:firstColumn="0" w:lastColumn="0" w:noHBand="0" w:noVBand="0" w:val="0020"/>
      </w:tblPr>
      <w:tblGrid>
        <w:gridCol w:w="1697"/>
        <w:gridCol w:w="3677"/>
        <w:gridCol w:w="2545"/>
      </w:tblGrid>
      <w:tr>
        <w:trPr>
          <w:tblHeader w:val="true"/>
        </w:trPr>
        <w:tc>
          <w:tcPr/>
          <w:p>
            <w:pPr>
              <w:pStyle w:val="Compact"/>
              <w:jc w:val="left"/>
            </w:pPr>
            <w:r>
              <w:t xml:space="preserve">Case</w:t>
            </w:r>
          </w:p>
        </w:tc>
        <w:tc>
          <w:tcPr/>
          <w:p>
            <w:pPr>
              <w:pStyle w:val="Compact"/>
              <w:jc w:val="left"/>
            </w:pPr>
            <w:r>
              <w:t xml:space="preserve">Description</w:t>
            </w:r>
          </w:p>
        </w:tc>
        <w:tc>
          <w:tcPr/>
          <w:p>
            <w:pPr>
              <w:pStyle w:val="Compact"/>
              <w:jc w:val="left"/>
            </w:pPr>
            <w:r>
              <w:t xml:space="preserve">Verdict</w:t>
            </w:r>
          </w:p>
        </w:tc>
      </w:tr>
      <w:tr>
        <w:tc>
          <w:tcPr/>
          <w:p>
            <w:pPr>
              <w:pStyle w:val="Compact"/>
              <w:jc w:val="left"/>
            </w:pPr>
            <w:r>
              <w:rPr>
                <w:bCs/>
                <w:b/>
              </w:rPr>
              <w:t xml:space="preserve">W3-C4</w:t>
            </w:r>
          </w:p>
        </w:tc>
        <w:tc>
          <w:tcPr/>
          <w:p>
            <w:pPr>
              <w:pStyle w:val="Compact"/>
              <w:jc w:val="left"/>
            </w:pPr>
            <w:r>
              <w:t xml:space="preserve">CHSH Bell-inequality violation certification</w:t>
            </w:r>
          </w:p>
        </w:tc>
        <w:tc>
          <w:tcPr/>
          <w:p>
            <w:pPr>
              <w:pStyle w:val="Compact"/>
              <w:jc w:val="left"/>
            </w:pPr>
            <w:r>
              <w:rPr>
                <w:bCs/>
                <w:b/>
              </w:rPr>
              <w:t xml:space="preserve">PASS</w:t>
            </w:r>
          </w:p>
        </w:tc>
      </w:tr>
      <w:tr>
        <w:tc>
          <w:tcPr/>
          <w:p>
            <w:pPr>
              <w:pStyle w:val="Compact"/>
              <w:jc w:val="left"/>
            </w:pPr>
            <w:r>
              <w:rPr>
                <w:bCs/>
                <w:b/>
              </w:rPr>
              <w:t xml:space="preserve">W3-C2</w:t>
            </w:r>
          </w:p>
        </w:tc>
        <w:tc>
          <w:tcPr/>
          <w:p>
            <w:pPr>
              <w:pStyle w:val="Compact"/>
              <w:jc w:val="left"/>
            </w:pPr>
            <w:r>
              <w:t xml:space="preserve">Tamper detection (6 sub-trials: QPU, NIST, astro, job_id, cal, context_id)</w:t>
            </w:r>
          </w:p>
        </w:tc>
        <w:tc>
          <w:tcPr/>
          <w:p>
            <w:pPr>
              <w:pStyle w:val="Compact"/>
              <w:jc w:val="left"/>
            </w:pPr>
            <w:r>
              <w:rPr>
                <w:bCs/>
                <w:b/>
              </w:rPr>
              <w:t xml:space="preserve">PASS</w:t>
            </w:r>
          </w:p>
        </w:tc>
      </w:tr>
      <w:tr>
        <w:tc>
          <w:tcPr/>
          <w:p>
            <w:pPr>
              <w:pStyle w:val="Compact"/>
              <w:jc w:val="left"/>
            </w:pPr>
            <w:r>
              <w:rPr>
                <w:bCs/>
                <w:b/>
              </w:rPr>
              <w:t xml:space="preserve">W3-C3</w:t>
            </w:r>
          </w:p>
        </w:tc>
        <w:tc>
          <w:tcPr/>
          <w:p>
            <w:pPr>
              <w:pStyle w:val="Compact"/>
              <w:jc w:val="left"/>
            </w:pPr>
            <w:r>
              <w:t xml:space="preserve">Cross-context replay prevention (2 sub-cases: no-recompute, ARK-457)</w:t>
            </w:r>
          </w:p>
        </w:tc>
        <w:tc>
          <w:tcPr/>
          <w:p>
            <w:pPr>
              <w:pStyle w:val="Compact"/>
              <w:jc w:val="left"/>
            </w:pPr>
            <w:r>
              <w:rPr>
                <w:bCs/>
                <w:b/>
              </w:rPr>
              <w:t xml:space="preserve">PASS</w:t>
            </w:r>
          </w:p>
        </w:tc>
      </w:tr>
      <w:tr>
        <w:tc>
          <w:tcPr/>
          <w:p>
            <w:pPr>
              <w:pStyle w:val="Compact"/>
              <w:jc w:val="left"/>
            </w:pPr>
            <w:r>
              <w:rPr>
                <w:bCs/>
                <w:b/>
              </w:rPr>
              <w:t xml:space="preserve">W3-C1</w:t>
            </w:r>
          </w:p>
        </w:tc>
        <w:tc>
          <w:tcPr/>
          <w:p>
            <w:pPr>
              <w:pStyle w:val="Compact"/>
              <w:jc w:val="left"/>
            </w:pPr>
            <w:r>
              <w:t xml:space="preserve">Honest end-to-end verification (15 checks)</w:t>
            </w:r>
          </w:p>
        </w:tc>
        <w:tc>
          <w:tcPr/>
          <w:p>
            <w:pPr>
              <w:pStyle w:val="Compact"/>
              <w:jc w:val="left"/>
            </w:pPr>
            <w:r>
              <w:rPr>
                <w:bCs/>
                <w:b/>
              </w:rPr>
              <w:t xml:space="preserve">PASS</w:t>
            </w:r>
          </w:p>
        </w:tc>
      </w:tr>
    </w:tbl>
    <w:bookmarkStart w:id="28" w:name="w3-c4-chsh-bell-certification"/>
    <w:p>
      <w:pPr>
        <w:pStyle w:val="Heading3"/>
      </w:pPr>
      <w:r>
        <w:t xml:space="preserve">W3-C4: CHSH Bell Certification</w:t>
      </w:r>
    </w:p>
    <w:p>
      <w:pPr>
        <w:pStyle w:val="FirstParagraph"/>
      </w:pPr>
      <w:r>
        <w:rPr>
          <w:bCs/>
          <w:b/>
        </w:rPr>
        <w:t xml:space="preserve">Verdict:</w:t>
      </w:r>
      <w:r>
        <w:t xml:space="preserve"> </w:t>
      </w:r>
      <w:r>
        <w:t xml:space="preserve">PASS</w:t>
      </w:r>
    </w:p>
    <w:p>
      <w:pPr>
        <w:pStyle w:val="BodyText"/>
      </w:pPr>
      <w:r>
        <w:t xml:space="preserve">All three certification criteria satisfied:</w:t>
      </w:r>
      <w:r>
        <w:t xml:space="preserve"> </w:t>
      </w:r>
      <w:r>
        <w:t xml:space="preserve">- ✅ |S| = 2.545 &gt; 2 (classical bound)</w:t>
      </w:r>
      <w:r>
        <w:t xml:space="preserve"> </w:t>
      </w:r>
      <w:r>
        <w:t xml:space="preserve">- ✅ 15.8 σ ≥ 5 σ (statistical significance)</w:t>
      </w:r>
      <w:r>
        <w:t xml:space="preserve"> </w:t>
      </w:r>
      <w:r>
        <w:t xml:space="preserve">- ✅ |S| = 2.545 ≤ 2.8284 + 0.10 (Tsirelson tolerance)</w:t>
      </w:r>
    </w:p>
    <w:p>
      <w:pPr>
        <w:pStyle w:val="BodyText"/>
      </w:pPr>
      <w:r>
        <w:t xml:space="preserve">The CHSH test confirms</w:t>
      </w:r>
      <w:r>
        <w:t xml:space="preserve"> </w:t>
      </w:r>
      <w:r>
        <w:rPr>
          <w:bCs/>
          <w:b/>
        </w:rPr>
        <w:t xml:space="preserve">quantum non-classicality</w:t>
      </w:r>
      <w:r>
        <w:t xml:space="preserve"> </w:t>
      </w:r>
      <w:r>
        <w:t xml:space="preserve">for the measured correlation pattern. The same measurement bits that certify the Bell violation</w:t>
      </w:r>
      <w:r>
        <w:t xml:space="preserve"> </w:t>
      </w:r>
      <w:r>
        <w:rPr>
          <w:bCs/>
          <w:b/>
        </w:rPr>
        <w:t xml:space="preserve">also seed the cosmic nonce</w:t>
      </w:r>
      <w:r>
        <w:t xml:space="preserve">, tying the nonce to a verified quantum resource.</w:t>
      </w:r>
    </w:p>
    <w:bookmarkEnd w:id="28"/>
    <w:bookmarkStart w:id="29" w:name="w3-c2-tamper-detection"/>
    <w:p>
      <w:pPr>
        <w:pStyle w:val="Heading3"/>
      </w:pPr>
      <w:r>
        <w:t xml:space="preserve">W3-C2: Tamper Detection</w:t>
      </w:r>
    </w:p>
    <w:p>
      <w:pPr>
        <w:pStyle w:val="FirstParagraph"/>
      </w:pPr>
      <w:r>
        <w:rPr>
          <w:bCs/>
          <w:b/>
        </w:rPr>
        <w:t xml:space="preserve">Verdict:</w:t>
      </w:r>
      <w:r>
        <w:t xml:space="preserve"> </w:t>
      </w:r>
      <w:r>
        <w:t xml:space="preserve">PASS</w:t>
      </w:r>
    </w:p>
    <w:p>
      <w:pPr>
        <w:pStyle w:val="BodyText"/>
      </w:pPr>
      <w:r>
        <w:t xml:space="preserve">All 6 sub-trials detected forgery:</w:t>
      </w:r>
      <w:r>
        <w:t xml:space="preserve"> </w:t>
      </w:r>
      <w:r>
        <w:t xml:space="preserve">- ✅</w:t>
      </w:r>
      <w:r>
        <w:t xml:space="preserve"> </w:t>
      </w:r>
      <w:r>
        <w:rPr>
          <w:bCs/>
          <w:b/>
        </w:rPr>
        <w:t xml:space="preserve">raw_counts</w:t>
      </w:r>
      <w:r>
        <w:t xml:space="preserve"> </w:t>
      </w:r>
      <w:r>
        <w:t xml:space="preserve">substitution → nonce mismatch detected</w:t>
      </w:r>
      <w:r>
        <w:t xml:space="preserve"> </w:t>
      </w:r>
      <w:r>
        <w:t xml:space="preserve">- ✅</w:t>
      </w:r>
      <w:r>
        <w:t xml:space="preserve"> </w:t>
      </w:r>
      <w:r>
        <w:rPr>
          <w:bCs/>
          <w:b/>
        </w:rPr>
        <w:t xml:space="preserve">job_id</w:t>
      </w:r>
      <w:r>
        <w:t xml:space="preserve"> </w:t>
      </w:r>
      <w:r>
        <w:t xml:space="preserve">alteration → nonce + record_hash mismatch detected</w:t>
      </w:r>
      <w:r>
        <w:t xml:space="preserve"> </w:t>
      </w:r>
      <w:r>
        <w:t xml:space="preserve">- ✅</w:t>
      </w:r>
      <w:r>
        <w:t xml:space="preserve"> </w:t>
      </w:r>
      <w:r>
        <w:rPr>
          <w:bCs/>
          <w:b/>
        </w:rPr>
        <w:t xml:space="preserve">calibration</w:t>
      </w:r>
      <w:r>
        <w:t xml:space="preserve"> </w:t>
      </w:r>
      <w:r>
        <w:t xml:space="preserve">manipulation → nonce mismatch detected</w:t>
      </w:r>
      <w:r>
        <w:t xml:space="preserve"> </w:t>
      </w:r>
      <w:r>
        <w:t xml:space="preserve">- ✅</w:t>
      </w:r>
      <w:r>
        <w:t xml:space="preserve"> </w:t>
      </w:r>
      <w:r>
        <w:rPr>
          <w:bCs/>
          <w:b/>
        </w:rPr>
        <w:t xml:space="preserve">NIST witness</w:t>
      </w:r>
      <w:r>
        <w:t xml:space="preserve"> </w:t>
      </w:r>
      <w:r>
        <w:t xml:space="preserve">alteration → nonce mismatch detected</w:t>
      </w:r>
      <w:r>
        <w:t xml:space="preserve"> </w:t>
      </w:r>
      <w:r>
        <w:t xml:space="preserve">- ✅</w:t>
      </w:r>
      <w:r>
        <w:t xml:space="preserve"> </w:t>
      </w:r>
      <w:r>
        <w:rPr>
          <w:bCs/>
          <w:b/>
        </w:rPr>
        <w:t xml:space="preserve">Astro witness</w:t>
      </w:r>
      <w:r>
        <w:t xml:space="preserve"> </w:t>
      </w:r>
      <w:r>
        <w:t xml:space="preserve">alteration → nonce mismatch detected</w:t>
      </w:r>
      <w:r>
        <w:t xml:space="preserve"> </w:t>
      </w:r>
      <w:r>
        <w:t xml:space="preserve">- ✅</w:t>
      </w:r>
      <w:r>
        <w:t xml:space="preserve"> </w:t>
      </w:r>
      <w:r>
        <w:rPr>
          <w:bCs/>
          <w:b/>
        </w:rPr>
        <w:t xml:space="preserve">context_id</w:t>
      </w:r>
      <w:r>
        <w:t xml:space="preserve"> </w:t>
      </w:r>
      <w:r>
        <w:t xml:space="preserve">change (record_hash NOT recomputed) → record_hash mismatch detected</w:t>
      </w:r>
    </w:p>
    <w:p>
      <w:pPr>
        <w:pStyle w:val="BodyText"/>
      </w:pPr>
      <w:r>
        <w:t xml:space="preserve">The five-witness fusion makes the cosmic nonce highly tamper-evident: altering any single witness invalidates the entire ProofRecord.</w:t>
      </w:r>
    </w:p>
    <w:bookmarkEnd w:id="29"/>
    <w:bookmarkStart w:id="30" w:name="w3-c3-replay-prevention"/>
    <w:p>
      <w:pPr>
        <w:pStyle w:val="Heading3"/>
      </w:pPr>
      <w:r>
        <w:t xml:space="preserve">W3-C3: Replay Prevention</w:t>
      </w:r>
    </w:p>
    <w:p>
      <w:pPr>
        <w:pStyle w:val="FirstParagraph"/>
      </w:pPr>
      <w:r>
        <w:rPr>
          <w:bCs/>
          <w:b/>
        </w:rPr>
        <w:t xml:space="preserve">Verdict:</w:t>
      </w:r>
      <w:r>
        <w:t xml:space="preserve"> </w:t>
      </w:r>
      <w:r>
        <w:t xml:space="preserve">PASS</w:t>
      </w:r>
    </w:p>
    <w:p>
      <w:pPr>
        <w:pStyle w:val="BodyText"/>
      </w:pPr>
      <w:r>
        <w:t xml:space="preserve">Both sub-cases denied cross-context replay:</w:t>
      </w:r>
      <w:r>
        <w:t xml:space="preserve"> </w:t>
      </w:r>
      <w:r>
        <w:t xml:space="preserve">-</w:t>
      </w:r>
      <w:r>
        <w:t xml:space="preserve"> </w:t>
      </w:r>
      <w:r>
        <w:rPr>
          <w:bCs/>
          <w:b/>
        </w:rPr>
        <w:t xml:space="preserve">Sub-case A (no recompute):</w:t>
      </w:r>
      <w:r>
        <w:t xml:space="preserve"> </w:t>
      </w:r>
      <w:r>
        <w:t xml:space="preserve">record_hash mismatch → replay denied</w:t>
      </w:r>
      <w:r>
        <w:t xml:space="preserve"> </w:t>
      </w:r>
      <w:r>
        <w:t xml:space="preserve">-</w:t>
      </w:r>
      <w:r>
        <w:t xml:space="preserve"> </w:t>
      </w:r>
      <w:r>
        <w:rPr>
          <w:bCs/>
          <w:b/>
        </w:rPr>
        <w:t xml:space="preserve">Sub-case B (recompute + ARK-457):</w:t>
      </w:r>
      <w:r>
        <w:t xml:space="preserve"> </w:t>
      </w:r>
      <w:r>
        <w:t xml:space="preserve">record_hash valid after recompute, but ARK-457 authorization layer →</w:t>
      </w:r>
      <w:r>
        <w:t xml:space="preserve"> </w:t>
      </w:r>
      <w:r>
        <w:rPr>
          <w:bCs/>
          <w:b/>
        </w:rPr>
        <w:t xml:space="preserve">DENY</w:t>
      </w:r>
      <w:r>
        <w:t xml:space="preserve"> </w:t>
      </w:r>
      <w:r>
        <w:t xml:space="preserve">due to context mismatch</w:t>
      </w:r>
    </w:p>
    <w:p>
      <w:pPr>
        <w:pStyle w:val="BodyText"/>
      </w:pPr>
      <w:r>
        <w:rPr>
          <w:bCs/>
          <w:b/>
        </w:rPr>
        <w:t xml:space="preserve">Design note:</w:t>
      </w:r>
      <w:r>
        <w:t xml:space="preserve"> </w:t>
      </w:r>
      <w:r>
        <w:rPr>
          <w:rStyle w:val="VerbatimChar"/>
        </w:rPr>
        <w:t xml:space="preserve">record_hash</w:t>
      </w:r>
      <w:r>
        <w:t xml:space="preserve"> </w:t>
      </w:r>
      <w:r>
        <w:t xml:space="preserve">is a field-integrity seal, NOT a context-binding mechanism. Authorization enforcement requires a separate layer (ARK-457 checks all 5 context dimensions: tenant, session, resource, audience, environment). This is the intended, correct behavior.</w:t>
      </w:r>
    </w:p>
    <w:bookmarkEnd w:id="30"/>
    <w:bookmarkStart w:id="31" w:name="w3-c1-honest-end-to-end-verification"/>
    <w:p>
      <w:pPr>
        <w:pStyle w:val="Heading3"/>
      </w:pPr>
      <w:r>
        <w:t xml:space="preserve">W3-C1: Honest End-to-End Verification</w:t>
      </w:r>
    </w:p>
    <w:p>
      <w:pPr>
        <w:pStyle w:val="FirstParagraph"/>
      </w:pPr>
      <w:r>
        <w:rPr>
          <w:bCs/>
          <w:b/>
        </w:rPr>
        <w:t xml:space="preserve">Verdict:</w:t>
      </w:r>
      <w:r>
        <w:t xml:space="preserve"> </w:t>
      </w:r>
      <w:r>
        <w:t xml:space="preserve">PASS</w:t>
      </w:r>
    </w:p>
    <w:p>
      <w:pPr>
        <w:pStyle w:val="BodyText"/>
      </w:pPr>
      <w:r>
        <w:t xml:space="preserve">All 15 verification checks passed:</w:t>
      </w:r>
      <w:r>
        <w:t xml:space="preserve"> </w:t>
      </w:r>
      <w:r>
        <w:t xml:space="preserve">- ✅ Record Hash Match</w:t>
      </w:r>
      <w:r>
        <w:t xml:space="preserve"> </w:t>
      </w:r>
      <w:r>
        <w:t xml:space="preserve">- ✅ Cosmic Nonce Match</w:t>
      </w:r>
      <w:r>
        <w:t xml:space="preserve"> </w:t>
      </w:r>
      <w:r>
        <w:t xml:space="preserve">- ✅ Raw Counts Hash Match</w:t>
      </w:r>
      <w:r>
        <w:t xml:space="preserve"> </w:t>
      </w:r>
      <w:r>
        <w:t xml:space="preserve">- ✅ Cal Hash Match</w:t>
      </w:r>
      <w:r>
        <w:t xml:space="preserve"> </w:t>
      </w:r>
      <w:r>
        <w:t xml:space="preserve">- ✅ Nist Hash Match</w:t>
      </w:r>
      <w:r>
        <w:t xml:space="preserve"> </w:t>
      </w:r>
      <w:r>
        <w:t xml:space="preserve">- ✅ Astro Hash Match</w:t>
      </w:r>
      <w:r>
        <w:t xml:space="preserve"> </w:t>
      </w:r>
      <w:r>
        <w:t xml:space="preserve">- ✅ Chsh S Reproducible</w:t>
      </w:r>
      <w:r>
        <w:t xml:space="preserve"> </w:t>
      </w:r>
      <w:r>
        <w:t xml:space="preserve">- ✅ Schema Version Match</w:t>
      </w:r>
      <w:r>
        <w:t xml:space="preserve"> </w:t>
      </w:r>
      <w:r>
        <w:t xml:space="preserve">- ✅ Context Id Present</w:t>
      </w:r>
      <w:r>
        <w:t xml:space="preserve"> </w:t>
      </w:r>
      <w:r>
        <w:t xml:space="preserve">- ✅ Provider Instance Present</w:t>
      </w:r>
      <w:r>
        <w:t xml:space="preserve"> </w:t>
      </w:r>
      <w:r>
        <w:t xml:space="preserve">- ✅ Nist Witness Present</w:t>
      </w:r>
      <w:r>
        <w:t xml:space="preserve"> </w:t>
      </w:r>
      <w:r>
        <w:t xml:space="preserve">- ✅ Astro Witness Present</w:t>
      </w:r>
      <w:r>
        <w:t xml:space="preserve"> </w:t>
      </w:r>
      <w:r>
        <w:t xml:space="preserve">- ✅ Provider Job Found</w:t>
      </w:r>
      <w:r>
        <w:t xml:space="preserve"> </w:t>
      </w:r>
      <w:r>
        <w:t xml:space="preserve">- ✅ Provider Counts Match</w:t>
      </w:r>
    </w:p>
    <w:p>
      <w:pPr>
        <w:pStyle w:val="BodyText"/>
      </w:pPr>
      <w:r>
        <w:rPr>
          <w:bCs/>
          <w:b/>
        </w:rPr>
        <w:t xml:space="preserve">Provider provenance:</w:t>
      </w:r>
      <w:r>
        <w:t xml:space="preserve"> </w:t>
      </w:r>
      <w:r>
        <w:t xml:space="preserve">The</w:t>
      </w:r>
      <w:r>
        <w:t xml:space="preserve"> </w:t>
      </w:r>
      <w:r>
        <w:rPr>
          <w:rStyle w:val="VerbatimChar"/>
        </w:rPr>
        <w:t xml:space="preserve">provider_job_found</w:t>
      </w:r>
      <w:r>
        <w:t xml:space="preserve"> </w:t>
      </w:r>
      <w:r>
        <w:t xml:space="preserve">and</w:t>
      </w:r>
      <w:r>
        <w:t xml:space="preserve"> </w:t>
      </w:r>
      <w:r>
        <w:rPr>
          <w:rStyle w:val="VerbatimChar"/>
        </w:rPr>
        <w:t xml:space="preserve">provider_counts_match</w:t>
      </w:r>
      <w:r>
        <w:t xml:space="preserve"> </w:t>
      </w:r>
      <w:r>
        <w:t xml:space="preserve">checks confirm that the stored</w:t>
      </w:r>
      <w:r>
        <w:t xml:space="preserve"> </w:t>
      </w:r>
      <w:r>
        <w:rPr>
          <w:rStyle w:val="VerbatimChar"/>
        </w:rPr>
        <w:t xml:space="preserve">job_id</w:t>
      </w:r>
      <w:r>
        <w:t xml:space="preserve"> </w:t>
      </w:r>
      <w:r>
        <w:t xml:space="preserve">and per-setting measurement counts match the IBM Quantum provider’s API record at verification time. This does NOT confirm the physical origin or quality of QPU randomness, but it does establish that the claimed job exists and the counts were not fabricated post-hoc.</w:t>
      </w:r>
    </w:p>
    <w:p>
      <w:r>
        <w:pict>
          <v:rect style="width:0;height:1.5pt" o:hralign="center" o:hrstd="t" o:hr="t"/>
        </w:pict>
      </w:r>
    </w:p>
    <w:bookmarkEnd w:id="31"/>
    <w:bookmarkEnd w:id="32"/>
    <w:bookmarkStart w:id="33" w:name="harness-fix-disclosure"/>
    <w:p>
      <w:pPr>
        <w:pStyle w:val="Heading2"/>
      </w:pPr>
      <w:r>
        <w:t xml:space="preserve">Harness Fix Disclosure</w:t>
      </w:r>
    </w:p>
    <w:p>
      <w:pPr>
        <w:pStyle w:val="FirstParagraph"/>
      </w:pPr>
      <w:r>
        <w:rPr>
          <w:bCs/>
          <w:b/>
        </w:rPr>
        <w:t xml:space="preserve">Post-lock fix applied:</w:t>
      </w:r>
    </w:p>
    <w:p>
      <w:pPr>
        <w:pStyle w:val="BodyText"/>
      </w:pPr>
      <w:r>
        <w:rPr>
          <w:bCs/>
          <w:b/>
        </w:rPr>
        <w:t xml:space="preserve">FIX-W3-1 (channel parameter):</w:t>
      </w:r>
      <w:r>
        <w:br/>
      </w:r>
      <w:r>
        <w:rPr>
          <w:rStyle w:val="VerbatimChar"/>
        </w:rPr>
        <w:t xml:space="preserve">submit_job.py</w:t>
      </w:r>
      <w:r>
        <w:t xml:space="preserve"> </w:t>
      </w:r>
      <w:r>
        <w:t xml:space="preserve">line 63: changed</w:t>
      </w:r>
      <w:r>
        <w:t xml:space="preserve"> </w:t>
      </w:r>
      <w:r>
        <w:rPr>
          <w:rStyle w:val="VerbatimChar"/>
        </w:rPr>
        <w:t xml:space="preserve">channel="ibm_quantum_platform"</w:t>
      </w:r>
      <w:r>
        <w:t xml:space="preserve"> </w:t>
      </w:r>
      <w:r>
        <w:t xml:space="preserve">→</w:t>
      </w:r>
      <w:r>
        <w:t xml:space="preserve"> </w:t>
      </w:r>
      <w:r>
        <w:rPr>
          <w:rStyle w:val="VerbatimChar"/>
        </w:rPr>
        <w:t xml:space="preserve">channel="ibm_cloud"</w:t>
      </w:r>
      <w:r>
        <w:t xml:space="preserve"> </w:t>
      </w:r>
      <w:r>
        <w:t xml:space="preserve">to match the working IBM Quantum Runtime API endpoint for the open-plan instance. The preregistered MANIFEST.sha256 locked the harness before this fix; the fix was required to complete the actual QPU submission. This is disclosed per the RF Standing Covenant (transparency on post-lock modifications).</w:t>
      </w:r>
    </w:p>
    <w:p>
      <w:pPr>
        <w:pStyle w:val="BodyText"/>
      </w:pPr>
      <w:r>
        <w:t xml:space="preserve">No other harness fixes were needed. All other source modules match their preregistered SHA-256 hashes in</w:t>
      </w:r>
      <w:r>
        <w:t xml:space="preserve"> </w:t>
      </w:r>
      <w:r>
        <w:rPr>
          <w:rStyle w:val="VerbatimChar"/>
        </w:rPr>
        <w:t xml:space="preserve">MANIFEST.sha256</w:t>
      </w:r>
      <w:r>
        <w:t xml:space="preserve">.</w:t>
      </w:r>
    </w:p>
    <w:p>
      <w:r>
        <w:pict>
          <v:rect style="width:0;height:1.5pt" o:hralign="center" o:hrstd="t" o:hr="t"/>
        </w:pict>
      </w:r>
    </w:p>
    <w:bookmarkEnd w:id="33"/>
    <w:bookmarkStart w:id="34" w:name="honesty-bounds-per-rf-standing-covenant"/>
    <w:p>
      <w:pPr>
        <w:pStyle w:val="Heading2"/>
      </w:pPr>
      <w:r>
        <w:t xml:space="preserve">Honesty Bounds (per RF Standing Covenant)</w:t>
      </w:r>
    </w:p>
    <w:p>
      <w:pPr>
        <w:numPr>
          <w:ilvl w:val="0"/>
          <w:numId w:val="1001"/>
        </w:numPr>
        <w:pStyle w:val="Compact"/>
      </w:pPr>
      <w:r>
        <w:rPr>
          <w:bCs/>
          <w:b/>
        </w:rPr>
        <w:t xml:space="preserve">NOT loophole-free:</w:t>
      </w:r>
      <w:r>
        <w:t xml:space="preserve"> </w:t>
      </w:r>
      <w:r>
        <w:t xml:space="preserve">This CHSH test does NOT close the locality or detection loopholes. Alice and Bob measurement stations are neighboring transmons on the same chip (no spacelike separation).</w:t>
      </w:r>
    </w:p>
    <w:p>
      <w:pPr>
        <w:numPr>
          <w:ilvl w:val="0"/>
          <w:numId w:val="1001"/>
        </w:numPr>
        <w:pStyle w:val="Compact"/>
      </w:pPr>
      <w:r>
        <w:rPr>
          <w:bCs/>
          <w:b/>
        </w:rPr>
        <w:t xml:space="preserve">NOT device-independent:</w:t>
      </w:r>
      <w:r>
        <w:t xml:space="preserve"> </w:t>
      </w:r>
      <w:r>
        <w:t xml:space="preserve">The test assumes fair-sampling (no post-selection bias) and no-signalling (no communication between qubits during measurement), but does NOT verify these from first principles.</w:t>
      </w:r>
    </w:p>
    <w:p>
      <w:pPr>
        <w:numPr>
          <w:ilvl w:val="0"/>
          <w:numId w:val="1001"/>
        </w:numPr>
        <w:pStyle w:val="Compact"/>
      </w:pPr>
      <w:r>
        <w:rPr>
          <w:bCs/>
          <w:b/>
        </w:rPr>
        <w:t xml:space="preserve">Fixed measurement settings:</w:t>
      </w:r>
      <w:r>
        <w:t xml:space="preserve"> </w:t>
      </w:r>
      <w:r>
        <w:t xml:space="preserve">The four CHSH setting pairs were preregistered and fixed before execution (no adaptive measurement choices).</w:t>
      </w:r>
    </w:p>
    <w:p>
      <w:pPr>
        <w:numPr>
          <w:ilvl w:val="0"/>
          <w:numId w:val="1001"/>
        </w:numPr>
        <w:pStyle w:val="Compact"/>
      </w:pPr>
      <w:r>
        <w:rPr>
          <w:bCs/>
          <w:b/>
        </w:rPr>
        <w:t xml:space="preserve">Astro witness is provenance only:</w:t>
      </w:r>
      <w:r>
        <w:t xml:space="preserve"> </w:t>
      </w:r>
      <w:r>
        <w:t xml:space="preserve">The LIGO/GWOSC data segment is used as a</w:t>
      </w:r>
      <w:r>
        <w:t xml:space="preserve"> </w:t>
      </w:r>
      <w:r>
        <w:rPr>
          <w:bCs/>
          <w:b/>
        </w:rPr>
        <w:t xml:space="preserve">publicly re-verifiable byte anchor</w:t>
      </w:r>
      <w:r>
        <w:t xml:space="preserve"> </w:t>
      </w:r>
      <w:r>
        <w:t xml:space="preserve">for the nonce. It does NOT constitute an independent detection, cosmological measurement, or claim about the GW150914 event.</w:t>
      </w:r>
    </w:p>
    <w:p>
      <w:pPr>
        <w:numPr>
          <w:ilvl w:val="0"/>
          <w:numId w:val="1001"/>
        </w:numPr>
        <w:pStyle w:val="Compact"/>
      </w:pPr>
      <w:r>
        <w:rPr>
          <w:bCs/>
          <w:b/>
        </w:rPr>
        <w:t xml:space="preserve">No legal/security/production guarantee:</w:t>
      </w:r>
      <w:r>
        <w:t xml:space="preserve"> </w:t>
      </w:r>
      <w:r>
        <w:t xml:space="preserve">This is a research experiment demonstrating quantum-sourced nonce provenance. It does NOT claim legal enforceability, cryptographic security against all adversaries, production readiness, or RF-100 compliance.</w:t>
      </w:r>
    </w:p>
    <w:p>
      <w:pPr>
        <w:numPr>
          <w:ilvl w:val="0"/>
          <w:numId w:val="1001"/>
        </w:numPr>
        <w:pStyle w:val="Compact"/>
      </w:pPr>
      <w:r>
        <w:rPr>
          <w:bCs/>
          <w:b/>
        </w:rPr>
        <w:t xml:space="preserve">Findings bound to tested conditions:</w:t>
      </w:r>
      <w:r>
        <w:t xml:space="preserve"> </w:t>
      </w:r>
      <w:r>
        <w:t xml:space="preserve">The Bell certification applies ONLY to the specific backend (</w:t>
      </w:r>
      <w:r>
        <w:rPr>
          <w:rStyle w:val="VerbatimChar"/>
        </w:rPr>
        <w:t xml:space="preserve">ibm_fez</w:t>
      </w:r>
      <w:r>
        <w:t xml:space="preserve">), qubits (0, 1 logical), calibration snapshot (timestamp</w:t>
      </w:r>
      <w:r>
        <w:t xml:space="preserve"> </w:t>
      </w:r>
      <w:r>
        <w:rPr>
          <w:rStyle w:val="VerbatimChar"/>
        </w:rPr>
        <w:t xml:space="preserve">2026-07-18T22:33:56Z</w:t>
      </w:r>
      <w:r>
        <w:t xml:space="preserve">), and shot count (8000). Generalization to other backends, qubits, or configurations requires separate tests.</w:t>
      </w:r>
    </w:p>
    <w:p>
      <w:r>
        <w:pict>
          <v:rect style="width:0;height:1.5pt" o:hralign="center" o:hrstd="t" o:hr="t"/>
        </w:pict>
      </w:r>
    </w:p>
    <w:bookmarkEnd w:id="34"/>
    <w:bookmarkStart w:id="35" w:name="re-verification-instructions"/>
    <w:p>
      <w:pPr>
        <w:pStyle w:val="Heading2"/>
      </w:pPr>
      <w:r>
        <w:t xml:space="preserve">Re-verification Instructions</w:t>
      </w:r>
    </w:p>
    <w:p>
      <w:pPr>
        <w:pStyle w:val="FirstParagraph"/>
      </w:pPr>
      <w:r>
        <w:t xml:space="preserve">To independently re-verify this ProofRecord:</w:t>
      </w:r>
    </w:p>
    <w:p>
      <w:pPr>
        <w:numPr>
          <w:ilvl w:val="0"/>
          <w:numId w:val="1002"/>
        </w:numPr>
        <w:pStyle w:val="Compact"/>
      </w:pPr>
      <w:r>
        <w:rPr>
          <w:bCs/>
          <w:b/>
        </w:rPr>
        <w:t xml:space="preserve">Fetch raw artifacts</w:t>
      </w:r>
      <w:r>
        <w:t xml:space="preserve"> </w:t>
      </w:r>
      <w:r>
        <w:t xml:space="preserve">from</w:t>
      </w:r>
      <w:r>
        <w:t xml:space="preserve"> </w:t>
      </w:r>
      <w:r>
        <w:rPr>
          <w:rStyle w:val="VerbatimChar"/>
        </w:rPr>
        <w:t xml:space="preserve">witness-testbeds</w:t>
      </w:r>
      <w:r>
        <w:t xml:space="preserve"> </w:t>
      </w:r>
      <w:r>
        <w:t xml:space="preserve">GitHub repo:</w:t>
      </w:r>
      <w:r>
        <w:t xml:space="preserve"> </w:t>
      </w:r>
      <w:r>
        <w:rPr>
          <w:rStyle w:val="VerbatimChar"/>
        </w:rPr>
        <w:t xml:space="preserve">witness-3/results/raw/*.json</w:t>
      </w:r>
    </w:p>
    <w:p>
      <w:pPr>
        <w:numPr>
          <w:ilvl w:val="0"/>
          <w:numId w:val="1002"/>
        </w:numPr>
        <w:pStyle w:val="Compact"/>
      </w:pPr>
      <w:r>
        <w:rPr>
          <w:bCs/>
          <w:b/>
        </w:rPr>
        <w:t xml:space="preserve">Recompute hashes:</w:t>
      </w:r>
    </w:p>
    <w:p>
      <w:pPr>
        <w:numPr>
          <w:ilvl w:val="1"/>
          <w:numId w:val="1003"/>
        </w:numPr>
        <w:pStyle w:val="Compact"/>
      </w:pPr>
      <w:r>
        <w:rPr>
          <w:rStyle w:val="VerbatimChar"/>
        </w:rPr>
        <w:t xml:space="preserve">raw_counts_hash = SHA-256(canonical_json(raw_counts))</w:t>
      </w:r>
    </w:p>
    <w:p>
      <w:pPr>
        <w:numPr>
          <w:ilvl w:val="1"/>
          <w:numId w:val="1003"/>
        </w:numPr>
        <w:pStyle w:val="Compact"/>
      </w:pPr>
      <w:r>
        <w:rPr>
          <w:rStyle w:val="VerbatimChar"/>
        </w:rPr>
        <w:t xml:space="preserve">calibration_hash = SHA-256(canonical_json(calibration_snapshot))</w:t>
      </w:r>
    </w:p>
    <w:p>
      <w:pPr>
        <w:numPr>
          <w:ilvl w:val="1"/>
          <w:numId w:val="1003"/>
        </w:numPr>
        <w:pStyle w:val="Compact"/>
      </w:pPr>
      <w:r>
        <w:rPr>
          <w:rStyle w:val="VerbatimChar"/>
        </w:rPr>
        <w:t xml:space="preserve">nist_hash = SHA-256(pulseIndex || timeStamp || outputValue || signatureValue)</w:t>
      </w:r>
      <w:r>
        <w:t xml:space="preserve"> </w:t>
      </w:r>
      <w:r>
        <w:t xml:space="preserve">(fetch from NIST beacon API)</w:t>
      </w:r>
    </w:p>
    <w:p>
      <w:pPr>
        <w:numPr>
          <w:ilvl w:val="1"/>
          <w:numId w:val="1003"/>
        </w:numPr>
        <w:pStyle w:val="Compact"/>
      </w:pPr>
      <w:r>
        <w:rPr>
          <w:rStyle w:val="VerbatimChar"/>
        </w:rPr>
        <w:t xml:space="preserve">astro_hash = SHA-256(file_sha256 || strain_sha256 || url || metadata)</w:t>
      </w:r>
      <w:r>
        <w:t xml:space="preserve"> </w:t>
      </w:r>
      <w:r>
        <w:t xml:space="preserve">(download GWOSC HDF5 file)</w:t>
      </w:r>
    </w:p>
    <w:p>
      <w:pPr>
        <w:numPr>
          <w:ilvl w:val="0"/>
          <w:numId w:val="1002"/>
        </w:numPr>
        <w:pStyle w:val="Compact"/>
      </w:pPr>
      <w:r>
        <w:rPr>
          <w:bCs/>
          <w:b/>
        </w:rPr>
        <w:t xml:space="preserve">Recompute cosmic_nonce</w:t>
      </w:r>
      <w:r>
        <w:t xml:space="preserve"> </w:t>
      </w:r>
      <w:r>
        <w:t xml:space="preserve">using the v3 construction (see</w:t>
      </w:r>
      <w:r>
        <w:t xml:space="preserve"> </w:t>
      </w:r>
      <w:r>
        <w:rPr>
          <w:rStyle w:val="VerbatimChar"/>
        </w:rPr>
        <w:t xml:space="preserve">nonce_v3.py</w:t>
      </w:r>
      <w:r>
        <w:t xml:space="preserve">)</w:t>
      </w:r>
    </w:p>
    <w:p>
      <w:pPr>
        <w:numPr>
          <w:ilvl w:val="0"/>
          <w:numId w:val="1002"/>
        </w:numPr>
        <w:pStyle w:val="Compact"/>
      </w:pPr>
      <w:r>
        <w:rPr>
          <w:bCs/>
          <w:b/>
        </w:rPr>
        <w:t xml:space="preserve">Recompute record_hash</w:t>
      </w:r>
      <w:r>
        <w:t xml:space="preserve"> </w:t>
      </w:r>
      <w:r>
        <w:t xml:space="preserve">(SHA-256 of all other ProofRecord fields in canonical order)</w:t>
      </w:r>
    </w:p>
    <w:p>
      <w:pPr>
        <w:numPr>
          <w:ilvl w:val="0"/>
          <w:numId w:val="1002"/>
        </w:numPr>
        <w:pStyle w:val="Compact"/>
      </w:pPr>
      <w:r>
        <w:rPr>
          <w:bCs/>
          <w:b/>
        </w:rPr>
        <w:t xml:space="preserve">Verify CHSH S</w:t>
      </w:r>
      <w:r>
        <w:t xml:space="preserve"> </w:t>
      </w:r>
      <w:r>
        <w:t xml:space="preserve">from raw counts (see</w:t>
      </w:r>
      <w:r>
        <w:t xml:space="preserve"> </w:t>
      </w:r>
      <w:r>
        <w:rPr>
          <w:rStyle w:val="VerbatimChar"/>
        </w:rPr>
        <w:t xml:space="preserve">chsh.py</w:t>
      </w:r>
      <w:r>
        <w:t xml:space="preserve">)</w:t>
      </w:r>
    </w:p>
    <w:p>
      <w:pPr>
        <w:numPr>
          <w:ilvl w:val="0"/>
          <w:numId w:val="1002"/>
        </w:numPr>
        <w:pStyle w:val="Compact"/>
      </w:pPr>
      <w:r>
        <w:rPr>
          <w:bCs/>
          <w:b/>
        </w:rPr>
        <w:t xml:space="preserve">Query IBM Quantum provider</w:t>
      </w:r>
      <w:r>
        <w:t xml:space="preserve"> </w:t>
      </w:r>
      <w:r>
        <w:t xml:space="preserve">for job</w:t>
      </w:r>
      <w:r>
        <w:t xml:space="preserve"> </w:t>
      </w:r>
      <w:r>
        <w:rPr>
          <w:rStyle w:val="VerbatimChar"/>
        </w:rPr>
        <w:t xml:space="preserve">d9dvul2neu4c739nrdl0</w:t>
      </w:r>
      <w:r>
        <w:t xml:space="preserve"> </w:t>
      </w:r>
      <w:r>
        <w:t xml:space="preserve">(requires IBM account) to confirm job existence and counts</w:t>
      </w:r>
    </w:p>
    <w:p>
      <w:pPr>
        <w:pStyle w:val="FirstParagraph"/>
      </w:pPr>
      <w:r>
        <w:t xml:space="preserve">All source code and raw data are public. The NIST beacon pulse and GWOSC strain file are third-party, timestamped, signed/archived resources — no trust in Remnant Fieldworks is required to verify those witnesses.</w:t>
      </w:r>
    </w:p>
    <w:p>
      <w:r>
        <w:pict>
          <v:rect style="width:0;height:1.5pt" o:hralign="center" o:hrstd="t" o:hr="t"/>
        </w:pict>
      </w:r>
    </w:p>
    <w:bookmarkEnd w:id="35"/>
    <w:bookmarkStart w:id="36" w:name="research-context"/>
    <w:p>
      <w:pPr>
        <w:pStyle w:val="Heading2"/>
      </w:pPr>
      <w:r>
        <w:t xml:space="preserve">Research Context</w:t>
      </w:r>
    </w:p>
    <w:p>
      <w:pPr>
        <w:pStyle w:val="FirstParagraph"/>
      </w:pPr>
      <w:r>
        <w:t xml:space="preserve">WITNESS-3 is part of the</w:t>
      </w:r>
      <w:r>
        <w:t xml:space="preserve"> </w:t>
      </w:r>
      <w:r>
        <w:rPr>
          <w:bCs/>
          <w:b/>
        </w:rPr>
        <w:t xml:space="preserve">Remnant Fieldworks ExecutionProof research program</w:t>
      </w:r>
      <w:r>
        <w:t xml:space="preserve">, exploring verifiable-provenance quantum-sourced nonces for high-consequence authorization boundaries. It extends WITNESS-1 and WITNESS-2 by:</w:t>
      </w:r>
      <w:r>
        <w:t xml:space="preserve"> </w:t>
      </w:r>
      <w:r>
        <w:t xml:space="preserve">- Fusing</w:t>
      </w:r>
      <w:r>
        <w:t xml:space="preserve"> </w:t>
      </w:r>
      <w:r>
        <w:rPr>
          <w:bCs/>
          <w:b/>
        </w:rPr>
        <w:t xml:space="preserve">three independent witnesses</w:t>
      </w:r>
      <w:r>
        <w:t xml:space="preserve"> </w:t>
      </w:r>
      <w:r>
        <w:t xml:space="preserve">(quantum + beacon + astrophysical) instead of one</w:t>
      </w:r>
      <w:r>
        <w:t xml:space="preserve"> </w:t>
      </w:r>
      <w:r>
        <w:t xml:space="preserve">- Certifying the quantum witness via</w:t>
      </w:r>
      <w:r>
        <w:t xml:space="preserve"> </w:t>
      </w:r>
      <w:r>
        <w:rPr>
          <w:bCs/>
          <w:b/>
        </w:rPr>
        <w:t xml:space="preserve">Bell-inequality violation</w:t>
      </w:r>
      <w:r>
        <w:t xml:space="preserve"> </w:t>
      </w:r>
      <w:r>
        <w:t xml:space="preserve">(not just raw entropy)</w:t>
      </w:r>
      <w:r>
        <w:t xml:space="preserve"> </w:t>
      </w:r>
      <w:r>
        <w:t xml:space="preserve">- Binding the nonce to</w:t>
      </w:r>
      <w:r>
        <w:t xml:space="preserve"> </w:t>
      </w:r>
      <w:r>
        <w:rPr>
          <w:bCs/>
          <w:b/>
        </w:rPr>
        <w:t xml:space="preserve">publicly archived LIGO gravitational-wave data</w:t>
      </w:r>
      <w:r>
        <w:t xml:space="preserve"> </w:t>
      </w:r>
      <w:r>
        <w:t xml:space="preserve">(historic, byte-exact, third-party re-verifiable)</w:t>
      </w:r>
    </w:p>
    <w:p>
      <w:pPr>
        <w:pStyle w:val="BodyText"/>
      </w:pPr>
      <w:r>
        <w:t xml:space="preserve">This experiment demonstrates that an authorization nonce can carry</w:t>
      </w:r>
      <w:r>
        <w:t xml:space="preserve"> </w:t>
      </w:r>
      <w:r>
        <w:rPr>
          <w:bCs/>
          <w:b/>
        </w:rPr>
        <w:t xml:space="preserve">publicly auditable provenance from multiple physical sources</w:t>
      </w:r>
      <w:r>
        <w:t xml:space="preserve">, reducing reliance on any single trust anchor.</w:t>
      </w:r>
    </w:p>
    <w:p>
      <w:r>
        <w:pict>
          <v:rect style="width:0;height:1.5pt" o:hralign="center" o:hrstd="t" o:hr="t"/>
        </w:pict>
      </w:r>
    </w:p>
    <w:bookmarkEnd w:id="36"/>
    <w:bookmarkStart w:id="37" w:name="acknowledgments"/>
    <w:p>
      <w:pPr>
        <w:pStyle w:val="Heading2"/>
      </w:pPr>
      <w:r>
        <w:t xml:space="preserve">Acknowledgments</w:t>
      </w:r>
    </w:p>
    <w:p>
      <w:pPr>
        <w:numPr>
          <w:ilvl w:val="0"/>
          <w:numId w:val="1004"/>
        </w:numPr>
        <w:pStyle w:val="Compact"/>
      </w:pPr>
      <w:r>
        <w:rPr>
          <w:bCs/>
          <w:b/>
        </w:rPr>
        <w:t xml:space="preserve">IBM Quantum</w:t>
      </w:r>
      <w:r>
        <w:t xml:space="preserve"> </w:t>
      </w:r>
      <w:r>
        <w:t xml:space="preserve">for open-plan QPU access (</w:t>
      </w:r>
      <w:r>
        <w:rPr>
          <w:rStyle w:val="VerbatimChar"/>
        </w:rPr>
        <w:t xml:space="preserve">ibm_fez</w:t>
      </w:r>
      <w:r>
        <w:t xml:space="preserve">, us-east region)</w:t>
      </w:r>
    </w:p>
    <w:p>
      <w:pPr>
        <w:numPr>
          <w:ilvl w:val="0"/>
          <w:numId w:val="1004"/>
        </w:numPr>
        <w:pStyle w:val="Compact"/>
      </w:pPr>
      <w:r>
        <w:rPr>
          <w:bCs/>
          <w:b/>
        </w:rPr>
        <w:t xml:space="preserve">NIST</w:t>
      </w:r>
      <w:r>
        <w:t xml:space="preserve"> </w:t>
      </w:r>
      <w:r>
        <w:t xml:space="preserve">for the public Randomness Beacon service (pulse 1865471)</w:t>
      </w:r>
    </w:p>
    <w:p>
      <w:pPr>
        <w:numPr>
          <w:ilvl w:val="0"/>
          <w:numId w:val="1004"/>
        </w:numPr>
        <w:pStyle w:val="Compact"/>
      </w:pPr>
      <w:r>
        <w:rPr>
          <w:bCs/>
          <w:b/>
        </w:rPr>
        <w:t xml:space="preserve">LIGO/GWOSC</w:t>
      </w:r>
      <w:r>
        <w:t xml:space="preserve"> </w:t>
      </w:r>
      <w:r>
        <w:t xml:space="preserve">for open gravitational-wave data (GW150914, H1 detector)</w:t>
      </w:r>
    </w:p>
    <w:p>
      <w:r>
        <w:pict>
          <v:rect style="width:0;height:1.5pt" o:hralign="center" o:hrstd="t" o:hr="t"/>
        </w:pict>
      </w:r>
    </w:p>
    <w:bookmarkEnd w:id="37"/>
    <w:bookmarkStart w:id="42" w:name="references"/>
    <w:p>
      <w:pPr>
        <w:pStyle w:val="Heading2"/>
      </w:pPr>
      <w:r>
        <w:t xml:space="preserve">References</w:t>
      </w:r>
    </w:p>
    <w:p>
      <w:pPr>
        <w:numPr>
          <w:ilvl w:val="0"/>
          <w:numId w:val="1005"/>
        </w:numPr>
        <w:pStyle w:val="Compact"/>
      </w:pPr>
      <w:r>
        <w:t xml:space="preserve">WITNESS concept DOI:</w:t>
      </w:r>
      <w:r>
        <w:t xml:space="preserve"> </w:t>
      </w:r>
      <w:hyperlink r:id="rId38">
        <w:r>
          <w:rPr>
            <w:rStyle w:val="Hyperlink"/>
          </w:rPr>
          <w:t xml:space="preserve">10.5281/zenodo.21424323</w:t>
        </w:r>
      </w:hyperlink>
    </w:p>
    <w:p>
      <w:pPr>
        <w:numPr>
          <w:ilvl w:val="0"/>
          <w:numId w:val="1005"/>
        </w:numPr>
        <w:pStyle w:val="Compact"/>
      </w:pPr>
      <w:r>
        <w:t xml:space="preserve">WITNESS-1 DOI:</w:t>
      </w:r>
      <w:r>
        <w:t xml:space="preserve"> </w:t>
      </w:r>
      <w:hyperlink r:id="rId39">
        <w:r>
          <w:rPr>
            <w:rStyle w:val="Hyperlink"/>
          </w:rPr>
          <w:t xml:space="preserve">10.5281/zenodo.21424324</w:t>
        </w:r>
      </w:hyperlink>
    </w:p>
    <w:p>
      <w:pPr>
        <w:numPr>
          <w:ilvl w:val="0"/>
          <w:numId w:val="1005"/>
        </w:numPr>
        <w:pStyle w:val="Compact"/>
      </w:pPr>
      <w:r>
        <w:t xml:space="preserve">WITNESS-2 DOI:</w:t>
      </w:r>
      <w:r>
        <w:t xml:space="preserve"> </w:t>
      </w:r>
      <w:hyperlink r:id="rId40">
        <w:r>
          <w:rPr>
            <w:rStyle w:val="Hyperlink"/>
          </w:rPr>
          <w:t xml:space="preserve">10.5281/zenodo.21425381</w:t>
        </w:r>
      </w:hyperlink>
    </w:p>
    <w:p>
      <w:pPr>
        <w:numPr>
          <w:ilvl w:val="0"/>
          <w:numId w:val="1005"/>
        </w:numPr>
        <w:pStyle w:val="Compact"/>
      </w:pPr>
      <w:r>
        <w:t xml:space="preserve">ARK concept DOI:</w:t>
      </w:r>
      <w:r>
        <w:t xml:space="preserve"> </w:t>
      </w:r>
      <w:hyperlink r:id="rId41">
        <w:r>
          <w:rPr>
            <w:rStyle w:val="Hyperlink"/>
          </w:rPr>
          <w:t xml:space="preserve">10.5281/zenodo.21398675</w:t>
        </w:r>
      </w:hyperlink>
    </w:p>
    <w:p>
      <w:pPr>
        <w:numPr>
          <w:ilvl w:val="0"/>
          <w:numId w:val="1005"/>
        </w:numPr>
        <w:pStyle w:val="Compact"/>
      </w:pPr>
      <w:r>
        <w:t xml:space="preserve">NIST Randomness Beacon: https://beacon.nist.gov/</w:t>
      </w:r>
    </w:p>
    <w:p>
      <w:pPr>
        <w:numPr>
          <w:ilvl w:val="0"/>
          <w:numId w:val="1005"/>
        </w:numPr>
        <w:pStyle w:val="Compact"/>
      </w:pPr>
      <w:r>
        <w:t xml:space="preserve">LIGO/GWOSC: https://gwosc.org/</w:t>
      </w:r>
    </w:p>
    <w:p>
      <w:pPr>
        <w:numPr>
          <w:ilvl w:val="0"/>
          <w:numId w:val="1005"/>
        </w:numPr>
        <w:pStyle w:val="Compact"/>
      </w:pPr>
      <w:r>
        <w:t xml:space="preserve">Remnant Fieldworks GitHub: https://github.com/derekhone/</w:t>
      </w:r>
    </w:p>
    <w:p>
      <w:r>
        <w:pict>
          <v:rect style="width:0;height:1.5pt" o:hralign="center" o:hrstd="t" o:hr="t"/>
        </w:pict>
      </w:r>
    </w:p>
    <w:p>
      <w:pPr>
        <w:pStyle w:val="FirstParagraph"/>
      </w:pPr>
      <w:r>
        <w:rPr>
          <w:bCs/>
          <w:b/>
        </w:rPr>
        <w:t xml:space="preserve">Preregistration commit:</w:t>
      </w:r>
      <w:r>
        <w:t xml:space="preserve"> </w:t>
      </w:r>
      <w:r>
        <w:rPr>
          <w:rStyle w:val="VerbatimChar"/>
        </w:rPr>
        <w:t xml:space="preserve">ac18f61</w:t>
      </w:r>
      <w:r>
        <w:t xml:space="preserve"> </w:t>
      </w:r>
      <w:r>
        <w:t xml:space="preserve">(2026-07-18,</w:t>
      </w:r>
      <w:r>
        <w:t xml:space="preserve"> </w:t>
      </w:r>
      <w:r>
        <w:rPr>
          <w:rStyle w:val="VerbatimChar"/>
        </w:rPr>
        <w:t xml:space="preserve">witness-testbeds</w:t>
      </w:r>
      <w:r>
        <w:t xml:space="preserve"> </w:t>
      </w:r>
      <w:r>
        <w:t xml:space="preserve">repo)</w:t>
      </w:r>
      <w:r>
        <w:br/>
      </w:r>
      <w:r>
        <w:rPr>
          <w:bCs/>
          <w:b/>
        </w:rPr>
        <w:t xml:space="preserve">Report generated:</w:t>
      </w:r>
      <w:r>
        <w:t xml:space="preserve"> </w:t>
      </w:r>
      <w:r>
        <w:t xml:space="preserve">2026-07-18 22:40:20 UTC</w:t>
      </w:r>
    </w:p>
    <w:p>
      <w:r>
        <w:pict>
          <v:rect style="width:0;height:1.5pt" o:hralign="center" o:hrstd="t" o:hr="t"/>
        </w:pict>
      </w:r>
    </w:p>
    <w:p>
      <w:pPr>
        <w:pStyle w:val="FirstParagraph"/>
      </w:pPr>
      <w:r>
        <w:rPr>
          <w:iCs/>
          <w:i/>
        </w:rPr>
        <w:t xml:space="preserve">Soli Deo Gloria.</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doi.org/10.5281/zenodo.21398675" TargetMode="External" /><Relationship Type="http://schemas.openxmlformats.org/officeDocument/2006/relationships/hyperlink" Id="rId38" Target="https://doi.org/10.5281/zenodo.21424323" TargetMode="External" /><Relationship Type="http://schemas.openxmlformats.org/officeDocument/2006/relationships/hyperlink" Id="rId39" Target="https://doi.org/10.5281/zenodo.21424324" TargetMode="External" /><Relationship Type="http://schemas.openxmlformats.org/officeDocument/2006/relationships/hyperlink" Id="rId40" Target="https://doi.org/10.5281/zenodo.21425381" TargetMode="External" /></Relationships>
</file>

<file path=word/_rels/footnotes.xml.rels><?xml version="1.0" encoding="UTF-8"?><Relationships xmlns="http://schemas.openxmlformats.org/package/2006/relationships"><Relationship Type="http://schemas.openxmlformats.org/officeDocument/2006/relationships/hyperlink" Id="rId41" Target="https://doi.org/10.5281/zenodo.21398675" TargetMode="External" /><Relationship Type="http://schemas.openxmlformats.org/officeDocument/2006/relationships/hyperlink" Id="rId38" Target="https://doi.org/10.5281/zenodo.21424323" TargetMode="External" /><Relationship Type="http://schemas.openxmlformats.org/officeDocument/2006/relationships/hyperlink" Id="rId39" Target="https://doi.org/10.5281/zenodo.21424324" TargetMode="External" /><Relationship Type="http://schemas.openxmlformats.org/officeDocument/2006/relationships/hyperlink" Id="rId40" Target="https://doi.org/10.5281/zenodo.214253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2026-07-18T22:40:37Z</dcterms:created>
  <dcterms:modified xsi:type="dcterms:W3CDTF">2026-07-18T22:40:37Z</dcterms:modified>
</cp:coreProperties>
</file>

<file path=docProps/custom.xml><?xml version="1.0" encoding="utf-8"?>
<Properties xmlns="http://schemas.openxmlformats.org/officeDocument/2006/custom-properties" xmlns:vt="http://schemas.openxmlformats.org/officeDocument/2006/docPropsVTypes"/>
</file>