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5" w:name="witness-4-preregistration"/>
    <w:p>
      <w:pPr>
        <w:pStyle w:val="Heading1"/>
      </w:pPr>
      <w:r>
        <w:t xml:space="preserve">WITNESS-4 Preregistration</w:t>
      </w:r>
    </w:p>
    <w:bookmarkStart w:id="20" w:name="X0020e40928f9cadf2e21ea40e4fb20a45df223c"/>
    <w:p>
      <w:pPr>
        <w:pStyle w:val="Heading2"/>
      </w:pPr>
      <w:r>
        <w:t xml:space="preserve">“</w:t>
      </w:r>
      <w:r>
        <w:t xml:space="preserve">The Freshness Bracket</w:t>
      </w:r>
      <w:r>
        <w:t xml:space="preserve">”</w:t>
      </w:r>
      <w:r>
        <w:t xml:space="preserve"> </w:t>
      </w:r>
      <w:r>
        <w:t xml:space="preserve">— Non-Backdatable, Independently-Reconstructable, Chain-Linked Quantum ProofRecord</w:t>
      </w:r>
    </w:p>
    <w:p>
      <w:pPr>
        <w:pStyle w:val="FirstParagraph"/>
      </w:pPr>
      <w:r>
        <w:rPr>
          <w:bCs/>
          <w:b/>
        </w:rPr>
        <w:t xml:space="preserve">Series:</w:t>
      </w:r>
      <w:r>
        <w:t xml:space="preserve"> </w:t>
      </w:r>
      <w:r>
        <w:t xml:space="preserve">WITNESS (fourth record — append-only ledger W1 → W2 → W3 → W4)</w:t>
      </w:r>
      <w:r>
        <w:t xml:space="preserve"> </w:t>
      </w:r>
      <w:r>
        <w:rPr>
          <w:bCs/>
          <w:b/>
        </w:rPr>
        <w:t xml:space="preserve">Author:</w:t>
      </w:r>
      <w:r>
        <w:t xml:space="preserve"> </w:t>
      </w:r>
      <w:r>
        <w:t xml:space="preserve">Derek Adam Hone / Remnant Fieldworks Inc.</w:t>
      </w:r>
      <w:r>
        <w:t xml:space="preserve"> </w:t>
      </w:r>
      <w:r>
        <w:rPr>
          <w:bCs/>
          <w:b/>
        </w:rPr>
        <w:t xml:space="preserve">Preregistration lock date:</w:t>
      </w:r>
      <w:r>
        <w:t xml:space="preserve"> </w:t>
      </w:r>
      <w:r>
        <w:t xml:space="preserve">2026-07-18 (UTC)</w:t>
      </w:r>
      <w:r>
        <w:t xml:space="preserve"> </w:t>
      </w:r>
      <w:r>
        <w:rPr>
          <w:bCs/>
          <w:b/>
        </w:rPr>
        <w:t xml:space="preserve">Status:</w:t>
      </w:r>
      <w:r>
        <w:t xml:space="preserve"> </w:t>
      </w:r>
      <w:r>
        <w:t xml:space="preserve">PREREGISTERED — locked before QPU execution</w:t>
      </w:r>
    </w:p>
    <w:p>
      <w:r>
        <w:pict>
          <v:rect style="width:0;height:1.5pt" o:hralign="center" o:hrstd="t" o:hr="t"/>
        </w:pict>
      </w:r>
    </w:p>
    <w:bookmarkEnd w:id="20"/>
    <w:bookmarkStart w:id="21" w:name="one-paragraph-summary"/>
    <w:p>
      <w:pPr>
        <w:pStyle w:val="Heading2"/>
      </w:pPr>
      <w:r>
        <w:t xml:space="preserve">0. One-paragraph summary</w:t>
      </w:r>
    </w:p>
    <w:p>
      <w:pPr>
        <w:pStyle w:val="FirstParagraph"/>
      </w:pPr>
      <w:r>
        <w:t xml:space="preserve">WITNESS-4 asks a narrow, high-value question that an auditor or independent reviewer would</w:t>
      </w:r>
      <w:r>
        <w:t xml:space="preserve"> </w:t>
      </w:r>
      <w:r>
        <w:t xml:space="preserve">actually raise about any ProofRecord™:</w:t>
      </w:r>
      <w:r>
        <w:t xml:space="preserve"> </w:t>
      </w:r>
      <w:r>
        <w:rPr>
          <w:iCs/>
          <w:i/>
        </w:rPr>
        <w:t xml:space="preserve">“</w:t>
      </w:r>
      <w:r>
        <w:rPr>
          <w:iCs/>
          <w:i/>
        </w:rPr>
        <w:t xml:space="preserve">Could this record have been backdated or</w:t>
      </w:r>
      <w:r>
        <w:rPr>
          <w:iCs/>
          <w:i/>
        </w:rPr>
        <w:t xml:space="preserve"> </w:t>
      </w:r>
      <w:r>
        <w:rPr>
          <w:iCs/>
          <w:i/>
        </w:rPr>
        <w:t xml:space="preserve">pre-computed, and can I rebuild it myself from public data alone?</w:t>
      </w:r>
      <w:r>
        <w:rPr>
          <w:iCs/>
          <w:i/>
        </w:rPr>
        <w:t xml:space="preserve">”</w:t>
      </w:r>
      <w:r>
        <w:t xml:space="preserve"> </w:t>
      </w:r>
      <w:r>
        <w:t xml:space="preserve">WITNESS-4 answers both</w:t>
      </w:r>
      <w:r>
        <w:t xml:space="preserve"> </w:t>
      </w:r>
      <w:r>
        <w:t xml:space="preserve">by constructing a</w:t>
      </w:r>
      <w:r>
        <w:t xml:space="preserve"> </w:t>
      </w:r>
      <w:r>
        <w:rPr>
          <w:bCs/>
          <w:b/>
        </w:rPr>
        <w:t xml:space="preserve">freshness bracket</w:t>
      </w:r>
      <w:r>
        <w:t xml:space="preserve"> </w:t>
      </w:r>
      <w:r>
        <w:t xml:space="preserve">around the record. First, the entire experimental</w:t>
      </w:r>
      <w:r>
        <w:t xml:space="preserve"> </w:t>
      </w:r>
      <w:r>
        <w:t xml:space="preserve">design (CHSH circuit spec, declared intent, context id, and the previous ledger link) is</w:t>
      </w:r>
      <w:r>
        <w:t xml:space="preserve"> </w:t>
      </w:r>
      <w:r>
        <w:t xml:space="preserve">written into a</w:t>
      </w:r>
      <w:r>
        <w:t xml:space="preserve"> </w:t>
      </w:r>
      <w:r>
        <w:rPr>
          <w:bCs/>
          <w:b/>
        </w:rPr>
        <w:t xml:space="preserve">pre-commitment document and hashed BEFORE any unpredictable public anchor</w:t>
      </w:r>
      <w:r>
        <w:rPr>
          <w:bCs/>
          <w:b/>
        </w:rPr>
        <w:t xml:space="preserve"> </w:t>
      </w:r>
      <w:r>
        <w:rPr>
          <w:bCs/>
          <w:b/>
        </w:rPr>
        <w:t xml:space="preserve">is fetched</w:t>
      </w:r>
      <w:r>
        <w:t xml:space="preserve"> </w:t>
      </w:r>
      <w:r>
        <w:t xml:space="preserve">— establishing</w:t>
      </w:r>
      <w:r>
        <w:t xml:space="preserve"> </w:t>
      </w:r>
      <w:r>
        <w:rPr>
          <w:iCs/>
          <w:i/>
        </w:rPr>
        <w:t xml:space="preserve">design-before-anchor</w:t>
      </w:r>
      <w:r>
        <w:t xml:space="preserve">. Second, the fused nonce commits to a</w:t>
      </w:r>
      <w:r>
        <w:t xml:space="preserve"> </w:t>
      </w:r>
      <w:r>
        <w:rPr>
          <w:bCs/>
          <w:b/>
        </w:rPr>
        <w:t xml:space="preserve">NIST public Randomness Beacon</w:t>
      </w:r>
      <w:r>
        <w:t xml:space="preserve"> </w:t>
      </w:r>
      <w:r>
        <w:t xml:space="preserve">pulse whose value did not exist before its published</w:t>
      </w:r>
      <w:r>
        <w:t xml:space="preserve"> </w:t>
      </w:r>
      <w:r>
        <w:t xml:space="preserve">pulse time — establishing a</w:t>
      </w:r>
      <w:r>
        <w:t xml:space="preserve"> </w:t>
      </w:r>
      <w:r>
        <w:rPr>
          <w:iCs/>
          <w:i/>
        </w:rPr>
        <w:t xml:space="preserve">not-before</w:t>
      </w:r>
      <w:r>
        <w:t xml:space="preserve"> </w:t>
      </w:r>
      <w:r>
        <w:t xml:space="preserve">lower time bound (the record could not have been</w:t>
      </w:r>
      <w:r>
        <w:t xml:space="preserve"> </w:t>
      </w:r>
      <w:r>
        <w:t xml:space="preserve">finalized earlier). Third, the record is</w:t>
      </w:r>
      <w:r>
        <w:t xml:space="preserve"> </w:t>
      </w:r>
      <w:r>
        <w:rPr>
          <w:bCs/>
          <w:b/>
        </w:rPr>
        <w:t xml:space="preserve">chain-linked to WITNESS-3’s published</w:t>
      </w:r>
      <w:r>
        <w:rPr>
          <w:bCs/>
          <w:b/>
        </w:rPr>
        <w:t xml:space="preserve"> </w:t>
      </w:r>
      <w:r>
        <w:rPr>
          <w:bCs/>
          <w:b/>
        </w:rPr>
        <w:t xml:space="preserve">record_hash</w:t>
      </w:r>
      <w:r>
        <w:t xml:space="preserve"> </w:t>
      </w:r>
      <w:r>
        <w:t xml:space="preserve">(Zenodo DOI 10.5281/zenodo.21434832), making WITNESS-1..4 a single</w:t>
      </w:r>
      <w:r>
        <w:t xml:space="preserve"> </w:t>
      </w:r>
      <w:r>
        <w:t xml:space="preserve">append-only, third-party-verifiable ledger. Fourth, a dedicated reconstruction module</w:t>
      </w:r>
      <w:r>
        <w:t xml:space="preserve"> </w:t>
      </w:r>
      <w:r>
        <w:t xml:space="preserve">rebuilds the</w:t>
      </w:r>
      <w:r>
        <w:t xml:space="preserve"> </w:t>
      </w:r>
      <w:r>
        <w:rPr>
          <w:iCs/>
          <w:i/>
        </w:rPr>
        <w:t xml:space="preserve">entire</w:t>
      </w:r>
      <w:r>
        <w:t xml:space="preserve"> </w:t>
      </w:r>
      <w:r>
        <w:t xml:space="preserve">record — every hash, the fused nonce, the CHSH statistic, the</w:t>
      </w:r>
      <w:r>
        <w:t xml:space="preserve"> </w:t>
      </w:r>
      <w:r>
        <w:t xml:space="preserve">freshness bracket, and the record_hash — from the stored public artifacts alone, with zero</w:t>
      </w:r>
      <w:r>
        <w:t xml:space="preserve"> </w:t>
      </w:r>
      <w:r>
        <w:t xml:space="preserve">trust in any RF-private state. The same QPU run remains a CHSH Bell test, certified under</w:t>
      </w:r>
      <w:r>
        <w:t xml:space="preserve"> </w:t>
      </w:r>
      <w:r>
        <w:t xml:space="preserve">the identical honest standard used in WITNESS-3.</w:t>
      </w:r>
    </w:p>
    <w:p>
      <w:r>
        <w:pict>
          <v:rect style="width:0;height:1.5pt" o:hralign="center" o:hrstd="t" o:hr="t"/>
        </w:pict>
      </w:r>
    </w:p>
    <w:bookmarkEnd w:id="21"/>
    <w:bookmarkStart w:id="22" w:name="claim-single-falsifiable"/>
    <w:p>
      <w:pPr>
        <w:pStyle w:val="Heading2"/>
      </w:pPr>
      <w:r>
        <w:t xml:space="preserve">1. Claim (single, falsifiable)</w:t>
      </w:r>
    </w:p>
    <w:p>
      <w:pPr>
        <w:pStyle w:val="FirstParagraph"/>
      </w:pPr>
      <w:r>
        <w:t xml:space="preserve">A ProofRecord constructed with a length-prefixed</w:t>
      </w:r>
      <w:r>
        <w:t xml:space="preserve"> </w:t>
      </w:r>
      <w:r>
        <w:rPr>
          <w:bCs/>
          <w:b/>
        </w:rPr>
        <w:t xml:space="preserve">7-segment fused nonce</w:t>
      </w:r>
      <w:r>
        <w:t xml:space="preserve"> </w:t>
      </w:r>
      <w:r>
        <w:t xml:space="preserve">— binding a</w:t>
      </w:r>
      <w:r>
        <w:t xml:space="preserve"> </w:t>
      </w:r>
      <w:r>
        <w:t xml:space="preserve">pre-commitment hash, the previous ledger link, QPU CHSH counts, the provider job id, the</w:t>
      </w:r>
      <w:r>
        <w:t xml:space="preserve"> </w:t>
      </w:r>
      <w:r>
        <w:t xml:space="preserve">backend calibration, a NIST beacon pulse, and a byte-exact LIGO/GWOSC strain segment — can</w:t>
      </w:r>
      <w:r>
        <w:t xml:space="preserve"> </w:t>
      </w:r>
      <w:r>
        <w:t xml:space="preserve">be: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fully reconstructed</w:t>
      </w:r>
      <w:r>
        <w:t xml:space="preserve"> </w:t>
      </w:r>
      <w:r>
        <w:t xml:space="preserve">from the stored public artifacts alone by an independent party,</w:t>
      </w:r>
      <w:r>
        <w:t xml:space="preserve"> </w:t>
      </w:r>
      <w:r>
        <w:t xml:space="preserve">with the provider job record confirming the QPU counts when the provider API is</w:t>
      </w:r>
      <w:r>
        <w:t xml:space="preserve"> </w:t>
      </w:r>
      <w:r>
        <w:t xml:space="preserve">reachable (W4-C1);</w:t>
      </w:r>
    </w:p>
    <w:p>
      <w:pPr>
        <w:numPr>
          <w:ilvl w:val="0"/>
          <w:numId w:val="1001"/>
        </w:numPr>
        <w:pStyle w:val="Compact"/>
      </w:pPr>
      <w:r>
        <w:t xml:space="preserve">detected as tampered when</w:t>
      </w:r>
      <w:r>
        <w:t xml:space="preserve"> </w:t>
      </w:r>
      <w:r>
        <w:rPr>
          <w:bCs/>
          <w:b/>
        </w:rPr>
        <w:t xml:space="preserve">any single element</w:t>
      </w:r>
      <w:r>
        <w:t xml:space="preserve"> </w:t>
      </w:r>
      <w:r>
        <w:t xml:space="preserve">of any witness, the pre-commitment, or</w:t>
      </w:r>
      <w:r>
        <w:t xml:space="preserve"> </w:t>
      </w:r>
      <w:r>
        <w:t xml:space="preserve">the ledger link is substituted (W4-C2);</w:t>
      </w:r>
    </w:p>
    <w:p>
      <w:pPr>
        <w:numPr>
          <w:ilvl w:val="0"/>
          <w:numId w:val="1001"/>
        </w:numPr>
        <w:pStyle w:val="Compact"/>
      </w:pPr>
      <w:r>
        <w:t xml:space="preserve">shown to be</w:t>
      </w:r>
      <w:r>
        <w:t xml:space="preserve"> </w:t>
      </w:r>
      <w:r>
        <w:rPr>
          <w:bCs/>
          <w:b/>
        </w:rPr>
        <w:t xml:space="preserve">non-backdatable and non-pre-computable</w:t>
      </w:r>
      <w:r>
        <w:t xml:space="preserve"> </w:t>
      </w:r>
      <w:r>
        <w:t xml:space="preserve">by re-evaluating the freshness</w:t>
      </w:r>
      <w:r>
        <w:t xml:space="preserve"> </w:t>
      </w:r>
      <w:r>
        <w:t xml:space="preserve">bracket independently of the record’s own stored freshness block (W4-C3);</w:t>
      </w:r>
    </w:p>
    <w:p>
      <w:pPr>
        <w:numPr>
          <w:ilvl w:val="0"/>
          <w:numId w:val="1001"/>
        </w:numPr>
        <w:pStyle w:val="Compact"/>
      </w:pPr>
      <w:r>
        <w:t xml:space="preserve">shown to be a sound</w:t>
      </w:r>
      <w:r>
        <w:t xml:space="preserve"> </w:t>
      </w:r>
      <w:r>
        <w:rPr>
          <w:bCs/>
          <w:b/>
        </w:rPr>
        <w:t xml:space="preserve">append-only ledger link</w:t>
      </w:r>
      <w:r>
        <w:t xml:space="preserve"> </w:t>
      </w:r>
      <w:r>
        <w:t xml:space="preserve">to WITNESS-3, with any broken link</w:t>
      </w:r>
      <w:r>
        <w:t xml:space="preserve"> </w:t>
      </w:r>
      <w:r>
        <w:t xml:space="preserve">detected three independent ways (W4-C4); and</w:t>
      </w:r>
    </w:p>
    <w:p>
      <w:pPr>
        <w:numPr>
          <w:ilvl w:val="0"/>
          <w:numId w:val="1001"/>
        </w:numPr>
        <w:pStyle w:val="Compact"/>
      </w:pPr>
      <w:r>
        <w:t xml:space="preserve">accompanied by a</w:t>
      </w:r>
      <w:r>
        <w:t xml:space="preserve"> </w:t>
      </w:r>
      <w:r>
        <w:rPr>
          <w:bCs/>
          <w:b/>
        </w:rPr>
        <w:t xml:space="preserve">CHSH Bell-inequality violation</w:t>
      </w:r>
      <w:r>
        <w:t xml:space="preserve"> </w:t>
      </w:r>
      <w:r>
        <w:t xml:space="preserve">certified at ≥ 5σ above the</w:t>
      </w:r>
      <w:r>
        <w:t xml:space="preserve"> </w:t>
      </w:r>
      <w:r>
        <w:t xml:space="preserve">classical bound on the tested backend (W4-C5),</w:t>
      </w:r>
    </w:p>
    <w:p>
      <w:pPr>
        <w:pStyle w:val="FirstParagraph"/>
      </w:pPr>
      <w:r>
        <w:t xml:space="preserve">under the tested construction, circuit, backend, qubits, calibration, and shot count.</w:t>
      </w:r>
    </w:p>
    <w:p>
      <w:r>
        <w:pict>
          <v:rect style="width:0;height:1.5pt" o:hralign="center" o:hrstd="t" o:hr="t"/>
        </w:pict>
      </w:r>
    </w:p>
    <w:bookmarkEnd w:id="22"/>
    <w:bookmarkStart w:id="23" w:name="Xbd1c60dff1269642dccfde0aabf4fea52152d0a"/>
    <w:p>
      <w:pPr>
        <w:pStyle w:val="Heading2"/>
      </w:pPr>
      <w:r>
        <w:t xml:space="preserve">2. Commercial motivation (why this record, for RF Inc.)</w:t>
      </w:r>
    </w:p>
    <w:p>
      <w:pPr>
        <w:pStyle w:val="FirstParagraph"/>
      </w:pPr>
      <w:r>
        <w:t xml:space="preserve">WITNESS-4 directly answers</w:t>
      </w:r>
      <w:r>
        <w:t xml:space="preserve"> </w:t>
      </w:r>
      <w:r>
        <w:rPr>
          <w:bCs/>
          <w:b/>
        </w:rPr>
        <w:t xml:space="preserve">Prospect Question #5</w:t>
      </w:r>
      <w:r>
        <w:t xml:space="preserve"> </w:t>
      </w:r>
      <w:r>
        <w:t xml:space="preserve">—</w:t>
      </w:r>
      <w:r>
        <w:t xml:space="preserve"> </w:t>
      </w:r>
      <w:r>
        <w:rPr>
          <w:iCs/>
          <w:i/>
        </w:rPr>
        <w:t xml:space="preserve">“</w:t>
      </w:r>
      <w:r>
        <w:rPr>
          <w:iCs/>
          <w:i/>
        </w:rPr>
        <w:t xml:space="preserve">Can an independent reviewer</w:t>
      </w:r>
      <w:r>
        <w:rPr>
          <w:iCs/>
          <w:i/>
        </w:rPr>
        <w:t xml:space="preserve"> </w:t>
      </w:r>
      <w:r>
        <w:rPr>
          <w:iCs/>
          <w:i/>
        </w:rPr>
        <w:t xml:space="preserve">reconstruct the decision from the ProofRecord?</w:t>
      </w:r>
      <w:r>
        <w:rPr>
          <w:iCs/>
          <w:i/>
        </w:rPr>
        <w:t xml:space="preserve">”</w:t>
      </w:r>
      <w:r>
        <w:t xml:space="preserve"> </w:t>
      </w:r>
      <w:r>
        <w:t xml:space="preserve">— with a machine that does exactly that,</w:t>
      </w:r>
      <w:r>
        <w:t xml:space="preserve"> </w:t>
      </w:r>
      <w:r>
        <w:t xml:space="preserve">offline, from public artifacts. It also answers the single most common audit/compliance</w:t>
      </w:r>
      <w:r>
        <w:t xml:space="preserve"> </w:t>
      </w:r>
      <w:r>
        <w:t xml:space="preserve">objection to any evidentiary record: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How do I know it wasn’t backdated or pre-computed</w:t>
      </w:r>
      <w:r>
        <w:rPr>
          <w:bCs/>
          <w:b/>
        </w:rPr>
        <w:t xml:space="preserve"> </w:t>
      </w:r>
      <w:r>
        <w:rPr>
          <w:bCs/>
          <w:b/>
        </w:rPr>
        <w:t xml:space="preserve">after the fact?</w:t>
      </w:r>
      <w:r>
        <w:rPr>
          <w:bCs/>
          <w:b/>
        </w:rPr>
        <w:t xml:space="preserve">”</w:t>
      </w:r>
      <w:r>
        <w:t xml:space="preserve"> </w:t>
      </w:r>
      <w:r>
        <w:t xml:space="preserve">By making the freshness bracket and the append-only ledger link part of</w:t>
      </w:r>
      <w:r>
        <w:t xml:space="preserve"> </w:t>
      </w:r>
      <w:r>
        <w:t xml:space="preserve">the nonce itself, WITNESS-4 strengthens the utility case for the</w:t>
      </w:r>
      <w:r>
        <w:t xml:space="preserve"> </w:t>
      </w:r>
      <w:r>
        <w:rPr>
          <w:bCs/>
          <w:b/>
        </w:rPr>
        <w:t xml:space="preserve">ProofRecord™</w:t>
      </w:r>
      <w:r>
        <w:t xml:space="preserve"> </w:t>
      </w:r>
      <w:r>
        <w:t xml:space="preserve">construction</w:t>
      </w:r>
      <w:r>
        <w:t xml:space="preserve"> </w:t>
      </w:r>
      <w:r>
        <w:t xml:space="preserve">and supports the record-integrity posture of the RF-100 program. This is a</w:t>
      </w:r>
      <w:r>
        <w:t xml:space="preserve"> </w:t>
      </w:r>
      <w:r>
        <w:t xml:space="preserve">provenance / freshness / ordering advance, not a new physics claim.</w:t>
      </w:r>
    </w:p>
    <w:p>
      <w:r>
        <w:pict>
          <v:rect style="width:0;height:1.5pt" o:hralign="center" o:hrstd="t" o:hr="t"/>
        </w:pict>
      </w:r>
    </w:p>
    <w:bookmarkEnd w:id="23"/>
    <w:bookmarkStart w:id="24" w:name="the-freshness-bracket-precise-definition"/>
    <w:p>
      <w:pPr>
        <w:pStyle w:val="Heading2"/>
      </w:pPr>
      <w:r>
        <w:t xml:space="preserve">3. The freshness bracket (precise definition)</w:t>
      </w:r>
    </w:p>
    <w:p>
      <w:pPr>
        <w:pStyle w:val="FirstParagraph"/>
      </w:pPr>
      <w:r>
        <w:t xml:space="preserve">All timestamps are ISO-8601 UTC. The bracket is:</w:t>
      </w:r>
    </w:p>
    <w:p>
      <w:pPr>
        <w:pStyle w:val="SourceCode"/>
      </w:pPr>
      <w:r>
        <w:rPr>
          <w:rStyle w:val="VerbatimChar"/>
        </w:rPr>
        <w:t xml:space="preserve">    precommit_time_utc   &lt;=   nist_pulse_time   &lt;=   timestamp_utc (finalize)</w:t>
      </w:r>
    </w:p>
    <w:p>
      <w:pPr>
        <w:pStyle w:val="FirstParagraph"/>
      </w:pPr>
      <w:r>
        <w:t xml:space="preserve">and the verifier checks three invariants: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NOT-BEFORE bound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timestamp_utc &gt;= nist_pulse_time</w:t>
      </w:r>
      <w:r>
        <w:t xml:space="preserve">. The fused nonce commits to a</w:t>
      </w:r>
      <w:r>
        <w:t xml:space="preserve"> </w:t>
      </w:r>
      <w:r>
        <w:t xml:space="preserve">NIST beacon</w:t>
      </w:r>
      <w:r>
        <w:t xml:space="preserve"> </w:t>
      </w:r>
      <w:r>
        <w:rPr>
          <w:rStyle w:val="VerbatimChar"/>
        </w:rPr>
        <w:t xml:space="preserve">outputValue</w:t>
      </w:r>
      <w:r>
        <w:t xml:space="preserve"> </w:t>
      </w:r>
      <w:r>
        <w:t xml:space="preserve">that was not published before</w:t>
      </w:r>
      <w:r>
        <w:t xml:space="preserve"> </w:t>
      </w:r>
      <w:r>
        <w:rPr>
          <w:rStyle w:val="VerbatimChar"/>
        </w:rPr>
        <w:t xml:space="preserve">nist_pulse_time</w:t>
      </w:r>
      <w:r>
        <w:t xml:space="preserve">; a record</w:t>
      </w:r>
      <w:r>
        <w:t xml:space="preserve"> </w:t>
      </w:r>
      <w:r>
        <w:t xml:space="preserve">claiming an effective time earlier than the pulse is a backdating forgery.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DESIGN-BEFORE-ANCHOR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precommit_time_utc &lt;= nist_pulse_time</w:t>
      </w:r>
      <w:r>
        <w:t xml:space="preserve">. The pre-commitment</w:t>
      </w:r>
      <w:r>
        <w:t xml:space="preserve"> </w:t>
      </w:r>
      <w:r>
        <w:t xml:space="preserve">(circuit + intent + context + prev link) was hashed before the beacon value was known; a</w:t>
      </w:r>
      <w:r>
        <w:t xml:space="preserve"> </w:t>
      </w:r>
      <w:r>
        <w:rPr>
          <w:rStyle w:val="VerbatimChar"/>
        </w:rPr>
        <w:t xml:space="preserve">precommit_time</w:t>
      </w:r>
      <w:r>
        <w:t xml:space="preserve"> </w:t>
      </w:r>
      <w:r>
        <w:t xml:space="preserve">after the pulse would indicate the design could have been chosen with</w:t>
      </w:r>
      <w:r>
        <w:t xml:space="preserve"> </w:t>
      </w:r>
      <w:r>
        <w:t xml:space="preserve">knowledge of the anchor (pre-computation).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CHAIN MONOTONIC</w:t>
      </w:r>
      <w:r>
        <w:t xml:space="preserve"> </w:t>
      </w:r>
      <w:r>
        <w:t xml:space="preserve">(advisory) —</w:t>
      </w:r>
      <w:r>
        <w:t xml:space="preserve"> </w:t>
      </w:r>
      <w:r>
        <w:rPr>
          <w:rStyle w:val="VerbatimChar"/>
        </w:rPr>
        <w:t xml:space="preserve">timestamp_utc &gt;= previous ledger record's timestamp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4"/>
    <w:bookmarkStart w:id="30" w:name="experimental-cases-and-pass-criteria"/>
    <w:p>
      <w:pPr>
        <w:pStyle w:val="Heading2"/>
      </w:pPr>
      <w:r>
        <w:t xml:space="preserve">4. Experimental cases and PASS criteria</w:t>
      </w:r>
    </w:p>
    <w:bookmarkStart w:id="25" w:name="X1c496db4650f02ecfb193d97810b9f6e72ee644"/>
    <w:p>
      <w:pPr>
        <w:pStyle w:val="Heading3"/>
      </w:pPr>
      <w:r>
        <w:t xml:space="preserve">W4-C1 — Zero-trust independent reconstruction (+ provider confirmation)</w:t>
      </w:r>
    </w:p>
    <w:p>
      <w:pPr>
        <w:pStyle w:val="FirstParagraph"/>
      </w:pPr>
      <w:r>
        <w:t xml:space="preserve">Rebuild the entire record from the public artifacts (</w:t>
      </w:r>
      <w:r>
        <w:rPr>
          <w:rStyle w:val="VerbatimChar"/>
        </w:rPr>
        <w:t xml:space="preserve">raw_counts</w:t>
      </w:r>
      <w:r>
        <w:t xml:space="preserve">,</w:t>
      </w:r>
      <w:r>
        <w:t xml:space="preserve"> </w:t>
      </w:r>
      <w:r>
        <w:rPr>
          <w:rStyle w:val="VerbatimChar"/>
        </w:rPr>
        <w:t xml:space="preserve">calibration_snapshot</w:t>
      </w:r>
      <w:r>
        <w:t xml:space="preserve">,</w:t>
      </w:r>
      <w:r>
        <w:t xml:space="preserve"> </w:t>
      </w:r>
      <w:r>
        <w:rPr>
          <w:rStyle w:val="VerbatimChar"/>
        </w:rPr>
        <w:t xml:space="preserve">nist_witness</w:t>
      </w:r>
      <w:r>
        <w:t xml:space="preserve">,</w:t>
      </w:r>
      <w:r>
        <w:t xml:space="preserve"> </w:t>
      </w:r>
      <w:r>
        <w:rPr>
          <w:rStyle w:val="VerbatimChar"/>
        </w:rPr>
        <w:t xml:space="preserve">astro_witness</w:t>
      </w:r>
      <w:r>
        <w:t xml:space="preserve">,</w:t>
      </w:r>
      <w:r>
        <w:t xml:space="preserve"> </w:t>
      </w:r>
      <w:r>
        <w:rPr>
          <w:rStyle w:val="VerbatimChar"/>
        </w:rPr>
        <w:t xml:space="preserve">precommit</w:t>
      </w:r>
      <w:r>
        <w:t xml:space="preserve">) and compare to the stored ProofRecord.</w:t>
      </w:r>
      <w:r>
        <w:t xml:space="preserve"> </w:t>
      </w:r>
      <w:r>
        <w:rPr>
          <w:bCs/>
          <w:b/>
        </w:rPr>
        <w:t xml:space="preserve">PASS:</w:t>
      </w:r>
      <w:r>
        <w:t xml:space="preserve"> </w:t>
      </w:r>
      <w:r>
        <w:t xml:space="preserve">every reconstruction check matches AND</w:t>
      </w:r>
      <w:r>
        <w:t xml:space="preserve"> </w:t>
      </w:r>
      <w:r>
        <w:rPr>
          <w:rStyle w:val="VerbatimChar"/>
        </w:rPr>
        <w:t xml:space="preserve">freshness.fresh == True</w:t>
      </w:r>
      <w:r>
        <w:t xml:space="preserve"> </w:t>
      </w:r>
      <w:r>
        <w:t xml:space="preserve">AND the provider</w:t>
      </w:r>
      <w:r>
        <w:t xml:space="preserve"> </w:t>
      </w:r>
      <w:r>
        <w:t xml:space="preserve">API confirms the</w:t>
      </w:r>
      <w:r>
        <w:t xml:space="preserve"> </w:t>
      </w:r>
      <w:r>
        <w:rPr>
          <w:rStyle w:val="VerbatimChar"/>
        </w:rPr>
        <w:t xml:space="preserve">job_id</w:t>
      </w:r>
      <w:r>
        <w:t xml:space="preserve"> </w:t>
      </w:r>
      <w:r>
        <w:t xml:space="preserve">and per-setting counts.</w:t>
      </w:r>
      <w:r>
        <w:t xml:space="preserve"> </w:t>
      </w:r>
      <w:r>
        <w:rPr>
          <w:bCs/>
          <w:b/>
        </w:rPr>
        <w:t xml:space="preserve">GATE-STOP</w:t>
      </w:r>
      <w:r>
        <w:t xml:space="preserve"> </w:t>
      </w:r>
      <w:r>
        <w:t xml:space="preserve">(not FAIL) if the provider</w:t>
      </w:r>
      <w:r>
        <w:t xml:space="preserve"> </w:t>
      </w:r>
      <w:r>
        <w:t xml:space="preserve">API is unreachable/unauthorized at verification time (the offline reconstruction still runs</w:t>
      </w:r>
      <w:r>
        <w:t xml:space="preserve"> </w:t>
      </w:r>
      <w:r>
        <w:t xml:space="preserve">and is reported).</w:t>
      </w:r>
    </w:p>
    <w:bookmarkEnd w:id="25"/>
    <w:bookmarkStart w:id="26" w:name="w4-c2-tamper-detection-8-sub-trials"/>
    <w:p>
      <w:pPr>
        <w:pStyle w:val="Heading3"/>
      </w:pPr>
      <w:r>
        <w:t xml:space="preserve">W4-C2 — Tamper detection (8 sub-trials)</w:t>
      </w:r>
    </w:p>
    <w:p>
      <w:pPr>
        <w:pStyle w:val="FirstParagraph"/>
      </w:pPr>
      <w:r>
        <w:t xml:space="preserve">Alter exactly one element and confirm detection: (a) raw_counts, (b) job_id, (c)</w:t>
      </w:r>
      <w:r>
        <w:t xml:space="preserve"> </w:t>
      </w:r>
      <w:r>
        <w:t xml:space="preserve">calibration, (d) NIST pulse, (e) astro file hash, (f) context_id without record_hash</w:t>
      </w:r>
      <w:r>
        <w:t xml:space="preserve"> </w:t>
      </w:r>
      <w:r>
        <w:t xml:space="preserve">recompute, (g) pre-commitment document, (h) previous ledger link.</w:t>
      </w:r>
      <w:r>
        <w:t xml:space="preserve"> </w:t>
      </w:r>
      <w:r>
        <w:rPr>
          <w:bCs/>
          <w:b/>
        </w:rPr>
        <w:t xml:space="preserve">PASS:</w:t>
      </w:r>
      <w:r>
        <w:t xml:space="preserve"> </w:t>
      </w:r>
      <w:r>
        <w:t xml:space="preserve">all 8 forgeries detected.</w:t>
      </w:r>
    </w:p>
    <w:bookmarkEnd w:id="26"/>
    <w:bookmarkStart w:id="27" w:name="X13a6e56d11662fe34d29c4697288eebafef5fd3"/>
    <w:p>
      <w:pPr>
        <w:pStyle w:val="Heading3"/>
      </w:pPr>
      <w:r>
        <w:t xml:space="preserve">W4-C3 — Backdating / pre-computation detection (flagship)</w:t>
      </w:r>
    </w:p>
    <w:p>
      <w:pPr>
        <w:pStyle w:val="FirstParagraph"/>
      </w:pPr>
      <w:r>
        <w:t xml:space="preserve">Independently re-evaluate the freshness bracket from the record’s timestamps (not the</w:t>
      </w:r>
      <w:r>
        <w:t xml:space="preserve"> </w:t>
      </w:r>
      <w:r>
        <w:t xml:space="preserve">stored freshness block).</w:t>
      </w:r>
      <w:r>
        <w:t xml:space="preserve"> </w:t>
      </w:r>
      <w:r>
        <w:rPr>
          <w:bCs/>
          <w:b/>
        </w:rPr>
        <w:t xml:space="preserve">PASS:</w:t>
      </w:r>
      <w:r>
        <w:t xml:space="preserve"> </w:t>
      </w:r>
      <w:r>
        <w:t xml:space="preserve">a backdated</w:t>
      </w:r>
      <w:r>
        <w:t xml:space="preserve"> </w:t>
      </w:r>
      <w:r>
        <w:rPr>
          <w:rStyle w:val="VerbatimChar"/>
        </w:rPr>
        <w:t xml:space="preserve">timestamp_utc</w:t>
      </w:r>
      <w:r>
        <w:t xml:space="preserve"> </w:t>
      </w:r>
      <w:r>
        <w:t xml:space="preserve">(earlier than the pulse) is</w:t>
      </w:r>
      <w:r>
        <w:t xml:space="preserve"> </w:t>
      </w:r>
      <w:r>
        <w:t xml:space="preserve">detected, a pre-computed</w:t>
      </w:r>
      <w:r>
        <w:t xml:space="preserve"> </w:t>
      </w:r>
      <w:r>
        <w:rPr>
          <w:rStyle w:val="VerbatimChar"/>
        </w:rPr>
        <w:t xml:space="preserve">precommit_time_utc</w:t>
      </w:r>
      <w:r>
        <w:t xml:space="preserve"> </w:t>
      </w:r>
      <w:r>
        <w:t xml:space="preserve">(later than the pulse) is detected, AND the</w:t>
      </w:r>
      <w:r>
        <w:t xml:space="preserve"> </w:t>
      </w:r>
      <w:r>
        <w:t xml:space="preserve">genuine record evaluates</w:t>
      </w:r>
      <w:r>
        <w:t xml:space="preserve"> </w:t>
      </w:r>
      <w:r>
        <w:rPr>
          <w:rStyle w:val="VerbatimChar"/>
        </w:rPr>
        <w:t xml:space="preserve">fresh == True</w:t>
      </w:r>
      <w:r>
        <w:t xml:space="preserve"> </w:t>
      </w:r>
      <w:r>
        <w:t xml:space="preserve">(no false positive).</w:t>
      </w:r>
    </w:p>
    <w:bookmarkEnd w:id="27"/>
    <w:bookmarkStart w:id="28" w:name="w4-c4-append-only-ledger-chain-integrity"/>
    <w:p>
      <w:pPr>
        <w:pStyle w:val="Heading3"/>
      </w:pPr>
      <w:r>
        <w:t xml:space="preserve">W4-C4 — Append-only ledger chain integrity</w:t>
      </w:r>
    </w:p>
    <w:p>
      <w:pPr>
        <w:pStyle w:val="FirstParagraph"/>
      </w:pPr>
      <w:r>
        <w:t xml:space="preserve">Verify the link to WITNESS-3’s published record_hash.</w:t>
      </w:r>
      <w:r>
        <w:t xml:space="preserve"> </w:t>
      </w:r>
      <w:r>
        <w:rPr>
          <w:bCs/>
          <w:b/>
        </w:rPr>
        <w:t xml:space="preserve">PASS:</w:t>
      </w:r>
      <w:r>
        <w:t xml:space="preserve"> </w:t>
      </w:r>
      <w:r>
        <w:t xml:space="preserve">the honest link verifies,</w:t>
      </w:r>
      <w:r>
        <w:t xml:space="preserve"> </w:t>
      </w:r>
      <w:r>
        <w:t xml:space="preserve">a broken link is detected three ways (chain-link check, fused-nonce mismatch, record_hash</w:t>
      </w:r>
      <w:r>
        <w:t xml:space="preserve"> </w:t>
      </w:r>
      <w:r>
        <w:t xml:space="preserve">mismatch), and the timestamps are monotonic.</w:t>
      </w:r>
    </w:p>
    <w:bookmarkEnd w:id="28"/>
    <w:bookmarkStart w:id="29" w:name="Xa2dda21434823006f476149e9260231f4e468c8"/>
    <w:p>
      <w:pPr>
        <w:pStyle w:val="Heading3"/>
      </w:pPr>
      <w:r>
        <w:t xml:space="preserve">W4-C5 — CHSH Bell-inequality violation certification (device-dependent)</w:t>
      </w:r>
    </w:p>
    <w:p>
      <w:pPr>
        <w:pStyle w:val="FirstParagraph"/>
      </w:pPr>
      <w:r>
        <w:t xml:space="preserve">Identical criterion to WITNESS-3 W3-C4.</w:t>
      </w:r>
      <w:r>
        <w:t xml:space="preserve"> </w:t>
      </w:r>
      <w:r>
        <w:rPr>
          <w:bCs/>
          <w:b/>
        </w:rPr>
        <w:t xml:space="preserve">PASS (all must hold):</w:t>
      </w:r>
      <w:r>
        <w:t xml:space="preserve"> </w:t>
      </w:r>
      <w:r>
        <w:t xml:space="preserve">(1) |S| &gt; 2; (2)</w:t>
      </w:r>
      <w:r>
        <w:t xml:space="preserve"> </w:t>
      </w:r>
      <w:r>
        <w:t xml:space="preserve">(|S| − 2)/σ_S ≥ 5.0; (3) |S| ≤ 2√2 + 0.10.</w:t>
      </w:r>
      <w:r>
        <w:t xml:space="preserve"> </w:t>
      </w:r>
      <w:r>
        <w:rPr>
          <w:bCs/>
          <w:b/>
        </w:rPr>
        <w:t xml:space="preserve">KILL condition:</w:t>
      </w:r>
      <w:r>
        <w:t xml:space="preserve"> </w:t>
      </w:r>
      <w:r>
        <w:t xml:space="preserve">|S| ≤ 2 → W4-C5 = FAIL,</w:t>
      </w:r>
      <w:r>
        <w:t xml:space="preserve"> </w:t>
      </w:r>
      <w:r>
        <w:rPr>
          <w:rStyle w:val="VerbatimChar"/>
        </w:rPr>
        <w:t xml:space="preserve">bell_certified = False</w:t>
      </w:r>
      <w:r>
        <w:t xml:space="preserve">, published as-is; the fused nonce and freshness bracket remain</w:t>
      </w:r>
      <w:r>
        <w:t xml:space="preserve"> </w:t>
      </w:r>
      <w:r>
        <w:t xml:space="preserve">valid as provenance/freshness/ordering constructions regardless.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31" w:name="fused-nonce-construction"/>
    <w:p>
      <w:pPr>
        <w:pStyle w:val="Heading2"/>
      </w:pPr>
      <w:r>
        <w:t xml:space="preserve">5. Fused nonce construction</w:t>
      </w:r>
    </w:p>
    <w:p>
      <w:pPr>
        <w:pStyle w:val="SourceCode"/>
      </w:pPr>
      <w:r>
        <w:rPr>
          <w:rStyle w:val="VerbatimChar"/>
        </w:rPr>
        <w:t xml:space="preserve">fused_nonce = SHA-256(</w:t>
      </w:r>
      <w:r>
        <w:br/>
      </w:r>
      <w:r>
        <w:rPr>
          <w:rStyle w:val="VerbatimChar"/>
        </w:rPr>
        <w:t xml:space="preserve">      LP(precommit_hash)</w:t>
      </w:r>
      <w:r>
        <w:br/>
      </w:r>
      <w:r>
        <w:rPr>
          <w:rStyle w:val="VerbatimChar"/>
        </w:rPr>
        <w:t xml:space="preserve">    ‖ LP(prev_record_hash)</w:t>
      </w:r>
      <w:r>
        <w:br/>
      </w:r>
      <w:r>
        <w:rPr>
          <w:rStyle w:val="VerbatimChar"/>
        </w:rPr>
        <w:t xml:space="preserve">    ‖ LP(canonical_json(raw_counts))</w:t>
      </w:r>
      <w:r>
        <w:br/>
      </w:r>
      <w:r>
        <w:rPr>
          <w:rStyle w:val="VerbatimChar"/>
        </w:rPr>
        <w:t xml:space="preserve">    ‖ LP(job_id)</w:t>
      </w:r>
      <w:r>
        <w:br/>
      </w:r>
      <w:r>
        <w:rPr>
          <w:rStyle w:val="VerbatimChar"/>
        </w:rPr>
        <w:t xml:space="preserve">    ‖ LP(canonical_json(calibration_snapshot))</w:t>
      </w:r>
      <w:r>
        <w:br/>
      </w:r>
      <w:r>
        <w:rPr>
          <w:rStyle w:val="VerbatimChar"/>
        </w:rPr>
        <w:t xml:space="preserve">    ‖ LP(canonical_json(nist_beacon_record))</w:t>
      </w:r>
      <w:r>
        <w:br/>
      </w:r>
      <w:r>
        <w:rPr>
          <w:rStyle w:val="VerbatimChar"/>
        </w:rPr>
        <w:t xml:space="preserve">    ‖ LP(canonical_json(astro_witness_record))</w:t>
      </w:r>
      <w:r>
        <w:br/>
      </w:r>
      <w:r>
        <w:rPr>
          <w:rStyle w:val="VerbatimChar"/>
        </w:rPr>
        <w:t xml:space="preserve">)</w:t>
      </w:r>
    </w:p>
    <w:p>
      <w:pPr>
        <w:pStyle w:val="FirstParagraph"/>
      </w:pPr>
      <w:r>
        <w:rPr>
          <w:rStyle w:val="VerbatimChar"/>
        </w:rPr>
        <w:t xml:space="preserve">LP(x) = struct.pack('&gt;I', len(x)) + x</w:t>
      </w:r>
      <w:r>
        <w:t xml:space="preserve"> </w:t>
      </w:r>
      <w:r>
        <w:t xml:space="preserve">(4-byte big-endian length prefix; boundary-collision</w:t>
      </w:r>
      <w:r>
        <w:t xml:space="preserve"> </w:t>
      </w:r>
      <w:r>
        <w:t xml:space="preserve">safe).</w:t>
      </w:r>
      <w:r>
        <w:t xml:space="preserve"> </w:t>
      </w:r>
      <w:r>
        <w:rPr>
          <w:rStyle w:val="VerbatimChar"/>
        </w:rPr>
        <w:t xml:space="preserve">canonical_json</w:t>
      </w:r>
      <w:r>
        <w:t xml:space="preserve"> </w:t>
      </w:r>
      <w:r>
        <w:t xml:space="preserve">= sorted keys, compact separators, ASCII. No single input controls</w:t>
      </w:r>
      <w:r>
        <w:t xml:space="preserve"> </w:t>
      </w:r>
      <w:r>
        <w:t xml:space="preserve">the nonce, and the nonce is inseparable from both the pre-commitment and the previous</w:t>
      </w:r>
      <w:r>
        <w:t xml:space="preserve"> </w:t>
      </w:r>
      <w:r>
        <w:t xml:space="preserve">ledger link.</w:t>
      </w:r>
    </w:p>
    <w:p>
      <w:r>
        <w:pict>
          <v:rect style="width:0;height:1.5pt" o:hralign="center" o:hrstd="t" o:hr="t"/>
        </w:pict>
      </w:r>
    </w:p>
    <w:bookmarkEnd w:id="31"/>
    <w:bookmarkStart w:id="32" w:name="preregistered-non-claims-honesty-bounds"/>
    <w:p>
      <w:pPr>
        <w:pStyle w:val="Heading2"/>
      </w:pPr>
      <w:r>
        <w:t xml:space="preserve">6. Preregistered non-claims (honesty bounds)</w:t>
      </w:r>
    </w:p>
    <w:p>
      <w:pPr>
        <w:pStyle w:val="FirstParagraph"/>
      </w:pPr>
      <w:r>
        <w:t xml:space="preserve">The following are stated in advance and will NOT be claimed regardless of outcome: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Not a trusted timestamping / notarization authority and not a blockchain.</w:t>
      </w:r>
      <w:r>
        <w:t xml:space="preserve"> </w:t>
      </w:r>
      <w:r>
        <w:t xml:space="preserve">The</w:t>
      </w:r>
      <w:r>
        <w:t xml:space="preserve"> </w:t>
      </w:r>
      <w:r>
        <w:t xml:space="preserve">freshness bracket establishes a</w:t>
      </w:r>
      <w:r>
        <w:t xml:space="preserve"> </w:t>
      </w:r>
      <w:r>
        <w:rPr>
          <w:bCs/>
          <w:b/>
        </w:rPr>
        <w:t xml:space="preserve">relative ordering</w:t>
      </w:r>
      <w:r>
        <w:t xml:space="preserve"> </w:t>
      </w:r>
      <w:r>
        <w:t xml:space="preserve">— design fixed before anchor, record</w:t>
      </w:r>
      <w:r>
        <w:t xml:space="preserve"> </w:t>
      </w:r>
      <w:r>
        <w:t xml:space="preserve">finalized at-or-after the anchor’s published pulse time — and a</w:t>
      </w:r>
      <w:r>
        <w:t xml:space="preserve"> </w:t>
      </w:r>
      <w:r>
        <w:rPr>
          <w:bCs/>
          <w:b/>
        </w:rPr>
        <w:t xml:space="preserve">not-before lower time</w:t>
      </w:r>
      <w:r>
        <w:rPr>
          <w:bCs/>
          <w:b/>
        </w:rPr>
        <w:t xml:space="preserve"> </w:t>
      </w:r>
      <w:r>
        <w:rPr>
          <w:bCs/>
          <w:b/>
        </w:rPr>
        <w:t xml:space="preserve">bound only.</w:t>
      </w:r>
      <w:r>
        <w:t xml:space="preserve"> </w:t>
      </w:r>
      <w:r>
        <w:t xml:space="preserve">There is</w:t>
      </w:r>
      <w:r>
        <w:t xml:space="preserve"> </w:t>
      </w:r>
      <w:r>
        <w:rPr>
          <w:bCs/>
          <w:b/>
        </w:rPr>
        <w:t xml:space="preserve">no upper time bound</w:t>
      </w:r>
      <w:r>
        <w:t xml:space="preserve">: a record can always be finalized later.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Not a loophole-free or device-independent Bell test.</w:t>
      </w:r>
      <w:r>
        <w:t xml:space="preserve"> </w:t>
      </w:r>
      <w:r>
        <w:t xml:space="preserve">The two qubits are neighbouring</w:t>
      </w:r>
      <w:r>
        <w:t xml:space="preserve"> </w:t>
      </w:r>
      <w:r>
        <w:t xml:space="preserve">transmons on one chip (locality/communication loophole open), outcomes use fair sampling</w:t>
      </w:r>
      <w:r>
        <w:t xml:space="preserve"> </w:t>
      </w:r>
      <w:r>
        <w:t xml:space="preserve">(detection loophole open), and settings are fixed by the harness (freedom-of-choice</w:t>
      </w:r>
      <w:r>
        <w:t xml:space="preserve"> </w:t>
      </w:r>
      <w:r>
        <w:t xml:space="preserve">loophole open). A violation is consistent with non-classical correlations on the tested</w:t>
      </w:r>
      <w:r>
        <w:t xml:space="preserve"> </w:t>
      </w:r>
      <w:r>
        <w:t xml:space="preserve">device under no-signalling and fair-sampling assumptions; it is not a device-independent</w:t>
      </w:r>
      <w:r>
        <w:t xml:space="preserve"> </w:t>
      </w:r>
      <w:r>
        <w:t xml:space="preserve">certification.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Astro data is provenance-only.</w:t>
      </w:r>
      <w:r>
        <w:t xml:space="preserve"> </w:t>
      </w:r>
      <w:r>
        <w:t xml:space="preserve">The LIGO/GWOSC segment binds a fixed, public,</w:t>
      </w:r>
      <w:r>
        <w:t xml:space="preserve"> </w:t>
      </w:r>
      <w:r>
        <w:t xml:space="preserve">byte-exact artifact into the nonce; it contributes no physical randomness claim.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No min-entropy claim from any single source.</w:t>
      </w:r>
      <w:r>
        <w:t xml:space="preserve"> </w:t>
      </w:r>
      <w:r>
        <w:t xml:space="preserve">The nonce is a provenance / freshness /</w:t>
      </w:r>
      <w:r>
        <w:t xml:space="preserve"> </w:t>
      </w:r>
      <w:r>
        <w:t xml:space="preserve">ordering construction, not an information-theoretic randomness extractor.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No legal, security-certification, production-readiness, or RF-100-certification claims.</w:t>
      </w:r>
      <w:r>
        <w:t xml:space="preserve"> </w:t>
      </w:r>
      <w:r>
        <w:t xml:space="preserve">All claims are bounded to the tested construction and conditions.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record_hash provides field integrity only;</w:t>
      </w:r>
      <w:r>
        <w:t xml:space="preserve"> </w:t>
      </w:r>
      <w:r>
        <w:t xml:space="preserve">cross-context authorization enforcement is</w:t>
      </w:r>
      <w:r>
        <w:t xml:space="preserve"> </w:t>
      </w:r>
      <w:r>
        <w:t xml:space="preserve">delegated to the ARK-457 layer, unchanged from prior records.</w:t>
      </w:r>
    </w:p>
    <w:p>
      <w:r>
        <w:pict>
          <v:rect style="width:0;height:1.5pt" o:hralign="center" o:hrstd="t" o:hr="t"/>
        </w:pict>
      </w:r>
    </w:p>
    <w:bookmarkEnd w:id="32"/>
    <w:bookmarkStart w:id="33" w:name="method-summary-load-bearing-step-order"/>
    <w:p>
      <w:pPr>
        <w:pStyle w:val="Heading2"/>
      </w:pPr>
      <w:r>
        <w:t xml:space="preserve">7. Method summary (load-bearing step order)</w:t>
      </w:r>
    </w:p>
    <w:p>
      <w:pPr>
        <w:numPr>
          <w:ilvl w:val="0"/>
          <w:numId w:val="1004"/>
        </w:numPr>
        <w:pStyle w:val="Compact"/>
      </w:pPr>
      <w:r>
        <w:t xml:space="preserve">Build and hash the</w:t>
      </w:r>
      <w:r>
        <w:t xml:space="preserve"> </w:t>
      </w:r>
      <w:r>
        <w:rPr>
          <w:bCs/>
          <w:b/>
        </w:rPr>
        <w:t xml:space="preserve">pre-commitment</w:t>
      </w:r>
      <w:r>
        <w:t xml:space="preserve"> </w:t>
      </w:r>
      <w:r>
        <w:t xml:space="preserve">(</w:t>
      </w:r>
      <w:r>
        <w:rPr>
          <w:rStyle w:val="VerbatimChar"/>
        </w:rPr>
        <w:t xml:space="preserve">precommit.json</w:t>
      </w:r>
      <w:r>
        <w:t xml:space="preserve">,</w:t>
      </w:r>
      <w:r>
        <w:t xml:space="preserve"> </w:t>
      </w:r>
      <w:r>
        <w:rPr>
          <w:rStyle w:val="VerbatimChar"/>
        </w:rPr>
        <w:t xml:space="preserve">precommit_hash</w:t>
      </w:r>
      <w:r>
        <w:t xml:space="preserve">) — BEFORE any</w:t>
      </w:r>
      <w:r>
        <w:t xml:space="preserve"> </w:t>
      </w:r>
      <w:r>
        <w:t xml:space="preserve">anchor is fetched.</w:t>
      </w:r>
    </w:p>
    <w:p>
      <w:pPr>
        <w:numPr>
          <w:ilvl w:val="0"/>
          <w:numId w:val="1004"/>
        </w:numPr>
        <w:pStyle w:val="Compact"/>
      </w:pPr>
      <w:r>
        <w:t xml:space="preserve">Submit the CHSH Batch job to IBM Quantum (channel</w:t>
      </w:r>
      <w:r>
        <w:t xml:space="preserve"> </w:t>
      </w:r>
      <w:r>
        <w:rPr>
          <w:rStyle w:val="VerbatimChar"/>
        </w:rPr>
        <w:t xml:space="preserve">ibm_cloud</w:t>
      </w:r>
      <w:r>
        <w:t xml:space="preserve">, 4 settings, qubits 0 &amp; 1,</w:t>
      </w:r>
      <w:r>
        <w:t xml:space="preserve"> </w:t>
      </w:r>
      <w:r>
        <w:t xml:space="preserve">2000 shots/setting, transpile opt_level=1). Capture</w:t>
      </w:r>
      <w:r>
        <w:t xml:space="preserve"> </w:t>
      </w:r>
      <w:r>
        <w:rPr>
          <w:rStyle w:val="VerbatimChar"/>
        </w:rPr>
        <w:t xml:space="preserve">raw_counts</w:t>
      </w:r>
      <w:r>
        <w:t xml:space="preserve">,</w:t>
      </w:r>
      <w:r>
        <w:t xml:space="preserve"> </w:t>
      </w:r>
      <w:r>
        <w:rPr>
          <w:rStyle w:val="VerbatimChar"/>
        </w:rPr>
        <w:t xml:space="preserve">calibration_snapshot</w:t>
      </w:r>
      <w:r>
        <w:t xml:space="preserve">,</w:t>
      </w:r>
      <w:r>
        <w:t xml:space="preserve"> </w:t>
      </w:r>
      <w:r>
        <w:rPr>
          <w:rStyle w:val="VerbatimChar"/>
        </w:rPr>
        <w:t xml:space="preserve">job_meta</w:t>
      </w:r>
      <w:r>
        <w:t xml:space="preserve">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After</w:t>
      </w:r>
      <w:r>
        <w:t xml:space="preserve"> </w:t>
      </w:r>
      <w:r>
        <w:t xml:space="preserve">results return, fetch the NIST beacon pulse and the LIGO/GWOSC strain witness.</w:t>
      </w:r>
    </w:p>
    <w:p>
      <w:pPr>
        <w:numPr>
          <w:ilvl w:val="0"/>
          <w:numId w:val="1004"/>
        </w:numPr>
        <w:pStyle w:val="Compact"/>
      </w:pPr>
      <w:r>
        <w:t xml:space="preserve">Compute the fused nonce, evaluate the freshness bracket, and build the v4 ProofRecord</w:t>
      </w:r>
      <w:r>
        <w:t xml:space="preserve"> </w:t>
      </w:r>
      <w:r>
        <w:t xml:space="preserve">(schema</w:t>
      </w:r>
      <w:r>
        <w:t xml:space="preserve"> </w:t>
      </w:r>
      <w:r>
        <w:rPr>
          <w:rStyle w:val="VerbatimChar"/>
        </w:rPr>
        <w:t xml:space="preserve">witness-proofrecord-4.0</w:t>
      </w:r>
      <w:r>
        <w:t xml:space="preserve">), chain-linked to WITNESS-3’s published record_hash.</w:t>
      </w:r>
    </w:p>
    <w:p>
      <w:pPr>
        <w:numPr>
          <w:ilvl w:val="0"/>
          <w:numId w:val="1004"/>
        </w:numPr>
        <w:pStyle w:val="Compact"/>
      </w:pPr>
      <w:r>
        <w:t xml:space="preserve">Run W4-C1..C5 and record honest verdicts (PASS / FAIL / GATE-STOP).</w:t>
      </w:r>
    </w:p>
    <w:p>
      <w:pPr>
        <w:pStyle w:val="FirstParagraph"/>
      </w:pPr>
      <w:r>
        <w:t xml:space="preserve">Genesis ledger link (WITNESS-3 published record_hash):</w:t>
      </w:r>
      <w:r>
        <w:t xml:space="preserve"> </w:t>
      </w:r>
      <w:r>
        <w:rPr>
          <w:rStyle w:val="VerbatimChar"/>
        </w:rPr>
        <w:t xml:space="preserve">858ffd49fd7517fd58ef242226bd7c680bb5db5850a34256fedffd76df0f1caf</w:t>
      </w:r>
    </w:p>
    <w:p>
      <w:r>
        <w:pict>
          <v:rect style="width:0;height:1.5pt" o:hralign="center" o:hrstd="t" o:hr="t"/>
        </w:pict>
      </w:r>
    </w:p>
    <w:bookmarkEnd w:id="33"/>
    <w:bookmarkStart w:id="34" w:name="integrity-lock"/>
    <w:p>
      <w:pPr>
        <w:pStyle w:val="Heading2"/>
      </w:pPr>
      <w:r>
        <w:t xml:space="preserve">8. Integrity lock</w:t>
      </w:r>
    </w:p>
    <w:p>
      <w:pPr>
        <w:pStyle w:val="FirstParagraph"/>
      </w:pPr>
      <w:r>
        <w:t xml:space="preserve">This preregistration and all</w:t>
      </w:r>
      <w:r>
        <w:t xml:space="preserve"> </w:t>
      </w:r>
      <w:r>
        <w:rPr>
          <w:rStyle w:val="VerbatimChar"/>
        </w:rPr>
        <w:t xml:space="preserve">witness-4/src/*.py</w:t>
      </w:r>
      <w:r>
        <w:t xml:space="preserve"> </w:t>
      </w:r>
      <w:r>
        <w:t xml:space="preserve">source files are hashed into</w:t>
      </w:r>
      <w:r>
        <w:t xml:space="preserve"> </w:t>
      </w:r>
      <w:r>
        <w:rPr>
          <w:rStyle w:val="VerbatimChar"/>
        </w:rPr>
        <w:t xml:space="preserve">witness-4/MANIFEST.sha256</w:t>
      </w:r>
      <w:r>
        <w:t xml:space="preserve"> </w:t>
      </w:r>
      <w:r>
        <w:t xml:space="preserve">and committed</w:t>
      </w:r>
      <w:r>
        <w:t xml:space="preserve"> </w:t>
      </w:r>
      <w:r>
        <w:rPr>
          <w:bCs/>
          <w:b/>
        </w:rPr>
        <w:t xml:space="preserve">before</w:t>
      </w:r>
      <w:r>
        <w:t xml:space="preserve"> </w:t>
      </w:r>
      <w:r>
        <w:t xml:space="preserve">QPU execution. The QPU run is performed</w:t>
      </w:r>
      <w:r>
        <w:t xml:space="preserve"> </w:t>
      </w:r>
      <w:r>
        <w:t xml:space="preserve">only after this lock and only with the author’s explicit approval.</w:t>
      </w:r>
    </w:p>
    <w:p>
      <w:pPr>
        <w:pStyle w:val="BodyText"/>
      </w:pPr>
      <w:r>
        <w:rPr>
          <w:bCs/>
          <w:b/>
        </w:rPr>
        <w:t xml:space="preserve">Trademarks (common-law / pending; not yet registered):</w:t>
      </w:r>
      <w:r>
        <w:t xml:space="preserve"> </w:t>
      </w:r>
      <w:r>
        <w:t xml:space="preserve">Remnant Fieldworks™,</w:t>
      </w:r>
      <w:r>
        <w:t xml:space="preserve"> </w:t>
      </w:r>
      <w:r>
        <w:t xml:space="preserve">ExecutionProof™, ProofRecord™, Proof Before Power™, Verification Before Execution™.</w:t>
      </w:r>
    </w:p>
    <w:bookmarkEnd w:id="34"/>
    <w:bookmarkEnd w:id="35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731">
    <w:nsid w:val="A99731"/>
    <w:multiLevelType w:val="multilevel"/>
    <w:lvl w:ilvl="0">
      <w:start w:val="1"/>
      <w:numFmt w:val="lowerLetter"/>
      <w:lvlText w:val="(%1)"/>
      <w:lvlJc w:val="left"/>
      <w:pPr>
        <w:ind w:left="720" w:hanging="480"/>
      </w:pPr>
    </w:lvl>
    <w:lvl w:ilvl="1">
      <w:start w:val="1"/>
      <w:numFmt w:val="lowerLetter"/>
      <w:lvlText w:val="(%2)"/>
      <w:lvlJc w:val="left"/>
      <w:pPr>
        <w:ind w:left="1440" w:hanging="480"/>
      </w:pPr>
    </w:lvl>
    <w:lvl w:ilvl="2">
      <w:start w:val="1"/>
      <w:numFmt w:val="lowerLetter"/>
      <w:lvlText w:val="(%3)"/>
      <w:lvlJc w:val="left"/>
      <w:pPr>
        <w:ind w:left="2160" w:hanging="480"/>
      </w:pPr>
    </w:lvl>
    <w:lvl w:ilvl="3">
      <w:start w:val="1"/>
      <w:numFmt w:val="lowerLetter"/>
      <w:lvlText w:val="(%4)"/>
      <w:lvlJc w:val="left"/>
      <w:pPr>
        <w:ind w:left="2880" w:hanging="480"/>
      </w:pPr>
    </w:lvl>
    <w:lvl w:ilvl="4">
      <w:start w:val="1"/>
      <w:numFmt w:val="lowerLetter"/>
      <w:lvlText w:val="(%5)"/>
      <w:lvlJc w:val="left"/>
      <w:pPr>
        <w:ind w:left="3600" w:hanging="480"/>
      </w:pPr>
    </w:lvl>
    <w:lvl w:ilvl="5">
      <w:start w:val="1"/>
      <w:numFmt w:val="lowerLetter"/>
      <w:lvlText w:val="(%6)"/>
      <w:lvlJc w:val="left"/>
      <w:pPr>
        <w:ind w:left="4320" w:hanging="480"/>
      </w:pPr>
    </w:lvl>
    <w:lvl w:ilvl="6">
      <w:start w:val="1"/>
      <w:numFmt w:val="lowerLetter"/>
      <w:lvlText w:val="(%7)"/>
      <w:lvlJc w:val="left"/>
      <w:pPr>
        <w:ind w:left="5040" w:hanging="480"/>
      </w:pPr>
    </w:lvl>
    <w:lvl w:ilvl="7">
      <w:start w:val="1"/>
      <w:numFmt w:val="lowerLetter"/>
      <w:lvlText w:val="(%8)"/>
      <w:lvlJc w:val="left"/>
      <w:pPr>
        <w:ind w:left="5760" w:hanging="480"/>
      </w:pPr>
    </w:lvl>
    <w:lvl w:ilvl="8">
      <w:start w:val="1"/>
      <w:numFmt w:val="lowerLetter"/>
      <w:lvlText w:val="(%9)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2026-07-18T23:04:56Z</dcterms:created>
  <dcterms:modified xsi:type="dcterms:W3CDTF">2026-07-18T23:04:56Z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