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itness-2-preregistration"/>
    <w:p>
      <w:pPr>
        <w:pStyle w:val="Heading1"/>
      </w:pPr>
      <w:r>
        <w:t xml:space="preserve">WITNESS-2 Preregistration</w:t>
      </w:r>
    </w:p>
    <w:bookmarkStart w:id="20" w:name="X0315091a4fbc01e28477425dff893d74df0e0ee"/>
    <w:p>
      <w:pPr>
        <w:pStyle w:val="Heading2"/>
      </w:pPr>
      <w:r>
        <w:t xml:space="preserve">Length-Prefixed Quantum Nonce with Record-Hash Field Integrity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WITNESS (second record)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Derek Adam Hone / Remnant Fieldworks Inc.</w:t>
      </w:r>
      <w:r>
        <w:t xml:space="preserve"> </w:t>
      </w:r>
      <w:r>
        <w:rPr>
          <w:bCs/>
          <w:b/>
        </w:rPr>
        <w:t xml:space="preserve">Preregistration lock date:</w:t>
      </w:r>
      <w:r>
        <w:t xml:space="preserve"> </w:t>
      </w:r>
      <w:r>
        <w:t xml:space="preserve">2026-07-18 (UTC)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PREREGISTERED — locked before execution</w:t>
      </w:r>
    </w:p>
    <w:p>
      <w:r>
        <w:pict>
          <v:rect style="width:0;height:1.5pt" o:hralign="center" o:hrstd="t" o:hr="t"/>
        </w:pict>
      </w:r>
    </w:p>
    <w:bookmarkEnd w:id="20"/>
    <w:bookmarkStart w:id="21" w:name="claim-single-falsifiable"/>
    <w:p>
      <w:pPr>
        <w:pStyle w:val="Heading2"/>
      </w:pPr>
      <w:r>
        <w:t xml:space="preserve">1. Claim (single, falsifiable)</w:t>
      </w:r>
    </w:p>
    <w:p>
      <w:pPr>
        <w:pStyle w:val="FirstParagraph"/>
      </w:pPr>
      <w:r>
        <w:t xml:space="preserve">A ProofRecord constructed with a length-prefixed quantum nonce and an independent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field-integrity seal can be:</w:t>
      </w:r>
    </w:p>
    <w:p>
      <w:pPr>
        <w:numPr>
          <w:ilvl w:val="0"/>
          <w:numId w:val="1001"/>
        </w:numPr>
        <w:pStyle w:val="Compact"/>
      </w:pPr>
      <w:r>
        <w:t xml:space="preserve">verified end-to-end against the provider’s job record (W2-C1),</w:t>
      </w:r>
    </w:p>
    <w:p>
      <w:pPr>
        <w:numPr>
          <w:ilvl w:val="0"/>
          <w:numId w:val="1001"/>
        </w:numPr>
        <w:pStyle w:val="Compact"/>
      </w:pPr>
      <w:r>
        <w:t xml:space="preserve">detected as tampered when any single field is substituted without recomputation (W2-C2),</w:t>
      </w:r>
    </w:p>
    <w:p>
      <w:pPr>
        <w:numPr>
          <w:ilvl w:val="0"/>
          <w:numId w:val="1001"/>
        </w:numPr>
        <w:pStyle w:val="Compact"/>
      </w:pPr>
      <w:r>
        <w:t xml:space="preserve">rejected as a cross-context replay — by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when the replayer does not</w:t>
      </w:r>
      <w:r>
        <w:t xml:space="preserve"> </w:t>
      </w:r>
      <w:r>
        <w:t xml:space="preserve">recompute it, and by ARK-457 5-dimensional context binding when the replayer does (W2-C3) —</w:t>
      </w:r>
    </w:p>
    <w:p>
      <w:pPr>
        <w:pStyle w:val="FirstParagraph"/>
      </w:pPr>
      <w:r>
        <w:t xml:space="preserve">under the tested construction, with the design boundary (record_hash = field integrity</w:t>
      </w:r>
      <w:r>
        <w:t xml:space="preserve"> </w:t>
      </w:r>
      <w:r>
        <w:t xml:space="preserve">only; context_id enforcement = separate ARK-457 layer) explicitly demonstrated.</w:t>
      </w:r>
    </w:p>
    <w:p>
      <w:r>
        <w:pict>
          <v:rect style="width:0;height:1.5pt" o:hralign="center" o:hrstd="t" o:hr="t"/>
        </w:pict>
      </w:r>
    </w:p>
    <w:bookmarkEnd w:id="21"/>
    <w:bookmarkStart w:id="22" w:name="non-claims-explicit"/>
    <w:p>
      <w:pPr>
        <w:pStyle w:val="Heading2"/>
      </w:pPr>
      <w:r>
        <w:t xml:space="preserve">2. Non-Claims (explicit)</w:t>
      </w:r>
    </w:p>
    <w:p>
      <w:pPr>
        <w:numPr>
          <w:ilvl w:val="0"/>
          <w:numId w:val="1002"/>
        </w:numPr>
        <w:pStyle w:val="Compact"/>
      </w:pPr>
      <w:r>
        <w:t xml:space="preserve">Does NOT prove quantum randomness superiority over CSPRNG. No Bell test; device</w:t>
      </w:r>
      <w:r>
        <w:t xml:space="preserve"> </w:t>
      </w:r>
      <w:r>
        <w:t xml:space="preserve">bias present and acknowledged.</w:t>
      </w:r>
    </w:p>
    <w:p>
      <w:pPr>
        <w:numPr>
          <w:ilvl w:val="0"/>
          <w:numId w:val="1002"/>
        </w:numPr>
        <w:pStyle w:val="Compact"/>
      </w:pPr>
      <w:r>
        <w:t xml:space="preserve">Does NOT prove universal security. Results apply only within the tested construction,</w:t>
      </w:r>
      <w:r>
        <w:t xml:space="preserve"> </w:t>
      </w:r>
      <w:r>
        <w:t xml:space="preserve">circuit model, backend, qubits, calibration snapshot, shot count, and software harness.</w:t>
      </w:r>
    </w:p>
    <w:p>
      <w:pPr>
        <w:numPr>
          <w:ilvl w:val="0"/>
          <w:numId w:val="1002"/>
        </w:numPr>
        <w:pStyle w:val="Compact"/>
      </w:pPr>
      <w:r>
        <w:t xml:space="preserve">Does NOT constitute a production certification or cryptographic security proof.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record_hash</w:t>
      </w:r>
      <w:r>
        <w:t xml:space="preserve"> </w:t>
      </w:r>
      <w:r>
        <w:t xml:space="preserve">is a field-integrity seal, not a context-binding mechanism. An attacker</w:t>
      </w:r>
      <w:r>
        <w:t xml:space="preserve"> </w:t>
      </w:r>
      <w:r>
        <w:t xml:space="preserve">who knows the schema can recompute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after altering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.</w:t>
      </w:r>
      <w:r>
        <w:t xml:space="preserve"> </w:t>
      </w:r>
      <w:r>
        <w:t xml:space="preserve">Context-id enforcement is deliberately delegated to the ARK-457 authorization layer.</w:t>
      </w:r>
      <w:r>
        <w:t xml:space="preserve"> </w:t>
      </w:r>
      <w:r>
        <w:t xml:space="preserve">This design boundary is tested explicitly in W2-C3(b) and is not a defect.</w:t>
      </w:r>
    </w:p>
    <w:p>
      <w:r>
        <w:pict>
          <v:rect style="width:0;height:1.5pt" o:hralign="center" o:hrstd="t" o:hr="t"/>
        </w:pict>
      </w:r>
    </w:p>
    <w:bookmarkEnd w:id="22"/>
    <w:bookmarkStart w:id="23" w:name="circuit-specification"/>
    <w:p>
      <w:pPr>
        <w:pStyle w:val="Heading2"/>
      </w:pPr>
      <w:r>
        <w:t xml:space="preserve">3. Circuit Specification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Qubits:</w:t>
      </w:r>
      <w:r>
        <w:t xml:space="preserve"> </w:t>
      </w:r>
      <w:r>
        <w:t xml:space="preserve">8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Circuit:</w:t>
      </w:r>
      <w:r>
        <w:t xml:space="preserve"> </w:t>
      </w:r>
      <w:r>
        <w:t xml:space="preserve">Hadamard on all 8 qubits, measure all — one circuit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4,000, one job submission.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Channel:</w:t>
      </w:r>
      <w:r>
        <w:t xml:space="preserve"> </w:t>
      </w:r>
      <w:r>
        <w:rPr>
          <w:rStyle w:val="VerbatimChar"/>
        </w:rPr>
        <w:t xml:space="preserve">ibm_quantum_platform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Execution mode:</w:t>
      </w:r>
      <w:r>
        <w:t xml:space="preserve"> </w:t>
      </w:r>
      <w:r>
        <w:t xml:space="preserve">Batch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Backend selection:</w:t>
      </w:r>
      <w:r>
        <w:t xml:space="preserve"> </w:t>
      </w:r>
      <w:r>
        <w:t xml:space="preserve">Operational, non-simulator, ≥8 qubits, accessible on open</w:t>
      </w:r>
      <w:r>
        <w:t xml:space="preserve"> </w:t>
      </w:r>
      <w:r>
        <w:t xml:space="preserve">plan. Least-busy at submission time. Backend name, calibration snapshot, timestamp,</w:t>
      </w:r>
      <w:r>
        <w:t xml:space="preserve"> </w:t>
      </w:r>
      <w:r>
        <w:t xml:space="preserve">job ID, and provider instance (CRN) recorded in</w:t>
      </w:r>
      <w:r>
        <w:t xml:space="preserve"> </w:t>
      </w:r>
      <w:r>
        <w:rPr>
          <w:rStyle w:val="VerbatimChar"/>
        </w:rPr>
        <w:t xml:space="preserve">results/raw/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QPU time budget gate:</w:t>
      </w:r>
      <w:r>
        <w:t xml:space="preserve"> </w:t>
      </w:r>
      <w:r>
        <w:rPr>
          <w:rStyle w:val="VerbatimChar"/>
        </w:rPr>
        <w:t xml:space="preserve">usage_remaining_seconds &gt;= 30</w:t>
      </w:r>
      <w:r>
        <w:t xml:space="preserve">. If insufficient time</w:t>
      </w:r>
      <w:r>
        <w:t xml:space="preserve"> </w:t>
      </w:r>
      <w:r>
        <w:t xml:space="preserve">remains, GATE-STOP — do not purchase time, do not proceed.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Provider API unavailability at W2-C1 provider verification step:</w:t>
      </w:r>
      <w:r>
        <w:t xml:space="preserve"> </w:t>
      </w:r>
      <w:r>
        <w:t xml:space="preserve">GATE-STOP,</w:t>
      </w:r>
      <w:r>
        <w:t xml:space="preserve"> </w:t>
      </w:r>
      <w:r>
        <w:t xml:space="preserve">not FAIL. Logged with reason.</w:t>
      </w:r>
    </w:p>
    <w:p>
      <w:r>
        <w:pict>
          <v:rect style="width:0;height:1.5pt" o:hralign="center" o:hrstd="t" o:hr="t"/>
        </w:pict>
      </w:r>
    </w:p>
    <w:bookmarkEnd w:id="23"/>
    <w:bookmarkStart w:id="24" w:name="nonce-construction-length-prefixed"/>
    <w:p>
      <w:pPr>
        <w:pStyle w:val="Heading2"/>
      </w:pPr>
      <w:r>
        <w:t xml:space="preserve">4. Nonce Construction (length-prefixed)</w:t>
      </w:r>
    </w:p>
    <w:p>
      <w:pPr>
        <w:pStyle w:val="SourceCode"/>
      </w:pPr>
      <w:r>
        <w:rPr>
          <w:rStyle w:val="VerbatimChar"/>
        </w:rPr>
        <w:t xml:space="preserve">LP(x) = struct.pack('&gt;I', len(x)) + x   (4-byte big-endian uint32 length prefix)</w:t>
      </w:r>
      <w:r>
        <w:br/>
      </w:r>
      <w:r>
        <w:br/>
      </w:r>
      <w:r>
        <w:rPr>
          <w:rStyle w:val="VerbatimChar"/>
        </w:rPr>
        <w:t xml:space="preserve">quantum_nonce = SHA-256(</w:t>
      </w:r>
      <w:r>
        <w:br/>
      </w:r>
      <w:r>
        <w:rPr>
          <w:rStyle w:val="VerbatimChar"/>
        </w:rPr>
        <w:t xml:space="preserve">    LP(canonical_json(raw_counts).encode('utf-8'))</w:t>
      </w:r>
      <w:r>
        <w:br/>
      </w:r>
      <w:r>
        <w:rPr>
          <w:rStyle w:val="VerbatimChar"/>
        </w:rPr>
        <w:t xml:space="preserve">    ‖ LP(job_id.encode('utf-8'))</w:t>
      </w:r>
      <w:r>
        <w:br/>
      </w:r>
      <w:r>
        <w:rPr>
          <w:rStyle w:val="VerbatimChar"/>
        </w:rPr>
        <w:t xml:space="preserve">    ‖ LP(canonical_json(calibration_snapshot).encode('utf-8'))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Canonical JSON:</w:t>
      </w:r>
      <w:r>
        <w:t xml:space="preserve"> </w:t>
      </w:r>
      <w:r>
        <w:rPr>
          <w:rStyle w:val="VerbatimChar"/>
        </w:rPr>
        <w:t xml:space="preserve">json.dumps(obj, sort_keys=True, separators=(',',':'), ensure_ascii=True)</w:t>
      </w:r>
      <w:r>
        <w:t xml:space="preserve"> </w:t>
      </w:r>
      <w:r>
        <w:t xml:space="preserve">Output is a</w:t>
      </w:r>
      <w:r>
        <w:t xml:space="preserve"> </w:t>
      </w:r>
      <w:r>
        <w:rPr>
          <w:rStyle w:val="VerbatimChar"/>
        </w:rPr>
        <w:t xml:space="preserve">str</w:t>
      </w:r>
      <w:r>
        <w:t xml:space="preserve">; encoded to UTF-8 bytes before hashing.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LP prefix:</w:t>
      </w:r>
      <w:r>
        <w:t xml:space="preserve"> </w:t>
      </w:r>
      <w:r>
        <w:t xml:space="preserve">Prevents two distinct component splits from producing the same</w:t>
      </w:r>
      <w:r>
        <w:t xml:space="preserve"> </w:t>
      </w:r>
      <w:r>
        <w:t xml:space="preserve">byte stream (length-extension ambiguity). Upgrade from WITNESS-1’s bare concatenation.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64-character lowercase hex string.</w:t>
      </w:r>
    </w:p>
    <w:p>
      <w:r>
        <w:pict>
          <v:rect style="width:0;height:1.5pt" o:hralign="center" o:hrstd="t" o:hr="t"/>
        </w:pict>
      </w:r>
    </w:p>
    <w:bookmarkEnd w:id="24"/>
    <w:bookmarkStart w:id="25" w:name="Xbbb93e7dfdb4a50b02397787bcdefcf46e7152a"/>
    <w:p>
      <w:pPr>
        <w:pStyle w:val="Heading2"/>
      </w:pPr>
      <w:r>
        <w:t xml:space="preserve">5. Calibration Snapshot (10-field deterministic schema)</w:t>
      </w:r>
    </w:p>
    <w:p>
      <w:pPr>
        <w:pStyle w:val="FirstParagraph"/>
      </w:pPr>
      <w:r>
        <w:t xml:space="preserve">All 10 fields always present. Missing values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(not omitted). Non-finite</w:t>
      </w:r>
      <w:r>
        <w:t xml:space="preserve"> </w:t>
      </w:r>
      <w:r>
        <w:t xml:space="preserve">floats (NaN, ±Inf)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Keys in sub-dicts sorted lexicographically via</w:t>
      </w:r>
      <w:r>
        <w:t xml:space="preserve"> </w:t>
      </w:r>
      <w:r>
        <w:rPr>
          <w:rStyle w:val="VerbatimChar"/>
        </w:rPr>
        <w:t xml:space="preserve">canonical_json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|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configuration.backend_version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last_update_utc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|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 second-precision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basis_gates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lexicographically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ascending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readout_error_by_qubit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{"&lt;q&gt;": float\|None}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qubit index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t1_by_qubit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{"&lt;q&gt;": float\|None}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t2_by_qubit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{"&lt;q&gt;": float\|None}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gate_error_for_used_gates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{"&lt;gate&gt;_q&lt;idx&gt;": float\|None}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Gates: h, measure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gate_length_for_used_gates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{"&lt;gate&gt;_q&lt;idx&gt;": float\|None}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efde95488b8d02205e0d2c34525621189686ec1"/>
    <w:p>
      <w:pPr>
        <w:pStyle w:val="Heading2"/>
      </w:pPr>
      <w:r>
        <w:t xml:space="preserve">6. ProofRecord Schema (</w:t>
      </w:r>
      <w:r>
        <w:rPr>
          <w:rStyle w:val="VerbatimChar"/>
        </w:rPr>
        <w:t xml:space="preserve">witness-proofrecord-1.0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"witness-proofrecord-1.0"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"quantum_nonce"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"&lt;64-char hex, length-prefixed SHA-256&gt;"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"&lt;IBM Quantum job ID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"&lt;backend name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"provider_instance"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"&lt;CRN / provider instance identifier&gt;"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"&lt;SHA-256 hex of canonical_json(calibration_snapshot)&gt;"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"raw_counts_hash"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"&lt;SHA-256 hex of canonical_json(raw_counts)&gt;"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"witness-2-primary"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"&lt;ISO-8601 UTC string, second precision&gt;"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"&lt;SHA-256 hex of canonical_json(all fields above, sorted)&gt;"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record_hash</w:t>
      </w:r>
      <w:r>
        <w:rPr>
          <w:bCs/>
          <w:b/>
        </w:rPr>
        <w:t xml:space="preserve"> </w:t>
      </w:r>
      <w:r>
        <w:rPr>
          <w:bCs/>
          <w:b/>
        </w:rPr>
        <w:t xml:space="preserve">construction:</w:t>
      </w:r>
    </w:p>
    <w:p>
      <w:pPr>
        <w:pStyle w:val="SourceCode"/>
      </w:pPr>
      <w:r>
        <w:rPr>
          <w:rStyle w:val="VerbatimChar"/>
        </w:rPr>
        <w:t xml:space="preserve">record_hash = SHA-256(canonical_json({all fields except record_hash itself}))</w:t>
      </w:r>
    </w:p>
    <w:p>
      <w:pPr>
        <w:numPr>
          <w:ilvl w:val="0"/>
          <w:numId w:val="1005"/>
        </w:numPr>
        <w:pStyle w:val="Compact"/>
      </w:pPr>
      <w:r>
        <w:t xml:space="preserve">Provides field integrity: any single field altered without recomputing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is detected immediately.</w:t>
      </w:r>
    </w:p>
    <w:p>
      <w:pPr>
        <w:numPr>
          <w:ilvl w:val="0"/>
          <w:numId w:val="1005"/>
        </w:numPr>
        <w:pStyle w:val="Compact"/>
      </w:pPr>
      <w:r>
        <w:t xml:space="preserve">Does NOT enforce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binding. An attacker may alter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and</w:t>
      </w:r>
      <w:r>
        <w:t xml:space="preserve"> </w:t>
      </w:r>
      <w:r>
        <w:t xml:space="preserve">recompute a valid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. Context-id enforcement requires ARK-457. See §7.</w:t>
      </w:r>
    </w:p>
    <w:p>
      <w:r>
        <w:pict>
          <v:rect style="width:0;height:1.5pt" o:hralign="center" o:hrstd="t" o:hr="t"/>
        </w:pict>
      </w:r>
    </w:p>
    <w:bookmarkEnd w:id="26"/>
    <w:bookmarkStart w:id="30" w:name="X581c9c44f5665a7a44e7b2bc85584e533580c8b"/>
    <w:p>
      <w:pPr>
        <w:pStyle w:val="Heading2"/>
      </w:pPr>
      <w:r>
        <w:t xml:space="preserve">7. Preregistered Test Cases &amp; Pass/Fail Criteria</w:t>
      </w:r>
    </w:p>
    <w:bookmarkStart w:id="27" w:name="w2-c1-honest-end-to-end-verification"/>
    <w:p>
      <w:pPr>
        <w:pStyle w:val="Heading3"/>
      </w:pPr>
      <w:r>
        <w:t xml:space="preserve">W2-C1 — Honest End-to-End Verification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1. Recompute</w:t>
      </w:r>
      <w:r>
        <w:t xml:space="preserve"> </w:t>
      </w:r>
      <w:r>
        <w:rPr>
          <w:rStyle w:val="VerbatimChar"/>
        </w:rPr>
        <w:t xml:space="preserve">quantum_nonce</w:t>
      </w:r>
      <w:r>
        <w:t xml:space="preserve"> </w:t>
      </w:r>
      <w:r>
        <w:t xml:space="preserve">from stored raw counts, job ID, and calibration snapshot.</w:t>
      </w:r>
      <w:r>
        <w:t xml:space="preserve"> </w:t>
      </w:r>
      <w:r>
        <w:t xml:space="preserve">2. Verify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by recomputing over all fields (excluding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itself).</w:t>
      </w:r>
      <w:r>
        <w:t xml:space="preserve"> </w:t>
      </w:r>
      <w:r>
        <w:t xml:space="preserve">3. Verify</w:t>
      </w:r>
      <w:r>
        <w:t xml:space="preserve"> </w:t>
      </w:r>
      <w:r>
        <w:rPr>
          <w:rStyle w:val="VerbatimChar"/>
        </w:rPr>
        <w:t xml:space="preserve">raw_counts_hash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calibration_hash</w:t>
      </w:r>
      <w:r>
        <w:t xml:space="preserve"> </w:t>
      </w:r>
      <w:r>
        <w:t xml:space="preserve">by direct recomputation.</w:t>
      </w:r>
      <w:r>
        <w:t xml:space="preserve"> </w:t>
      </w:r>
      <w:r>
        <w:t xml:space="preserve">4. Confirm</w:t>
      </w:r>
      <w:r>
        <w:t xml:space="preserve"> </w:t>
      </w:r>
      <w:r>
        <w:rPr>
          <w:rStyle w:val="VerbatimChar"/>
        </w:rPr>
        <w:t xml:space="preserve">schema_version == "witness-proofrecord-1.0"</w:t>
      </w:r>
      <w:r>
        <w:t xml:space="preserve">.</w:t>
      </w:r>
      <w:r>
        <w:t xml:space="preserve"> </w:t>
      </w:r>
      <w:r>
        <w:t xml:space="preserve">5. Confirm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provider_instance</w:t>
      </w:r>
      <w:r>
        <w:t xml:space="preserve"> </w:t>
      </w:r>
      <w:r>
        <w:t xml:space="preserve">are present (non-empty).</w:t>
      </w:r>
      <w:r>
        <w:t xml:space="preserve"> </w:t>
      </w:r>
      <w:r>
        <w:t xml:space="preserve">6. Via IBM provider API: confirm job ID exists and provider-returned counts match stored counts.</w:t>
      </w:r>
    </w:p>
    <w:p>
      <w:pPr>
        <w:pStyle w:val="BodyText"/>
      </w:pPr>
      <w:r>
        <w:rPr>
          <w:bCs/>
          <w:b/>
        </w:rPr>
        <w:t xml:space="preserve">Provenance note (preregistered):</w:t>
      </w:r>
      <w:r>
        <w:t xml:space="preserve"> </w:t>
      </w:r>
      <w:r>
        <w:t xml:space="preserve">Provider verification confirms stored job_id and</w:t>
      </w:r>
      <w:r>
        <w:t xml:space="preserve"> </w:t>
      </w:r>
      <w:r>
        <w:t xml:space="preserve">counts match the IBM provider API record at verification time. Does not confirm physical</w:t>
      </w:r>
      <w:r>
        <w:t xml:space="preserve"> </w:t>
      </w:r>
      <w:r>
        <w:t xml:space="preserve">origin or quality of QPU randomness.</w:t>
      </w:r>
    </w:p>
    <w:p>
      <w:pPr>
        <w:pStyle w:val="BodyText"/>
      </w:pPr>
      <w:r>
        <w:rPr>
          <w:bCs/>
          <w:b/>
        </w:rPr>
        <w:t xml:space="preserve">PASS criterion:</w:t>
      </w:r>
      <w:r>
        <w:t xml:space="preserve"> </w:t>
      </w:r>
      <w:r>
        <w:t xml:space="preserve">All local recomputation checks pass AND provider job is found AND</w:t>
      </w:r>
      <w:r>
        <w:t xml:space="preserve"> </w:t>
      </w:r>
      <w:r>
        <w:t xml:space="preserve">provider counts match. Provider API unavailability → GATE-STOP (not FAIL).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bookmarkEnd w:id="27"/>
    <w:bookmarkStart w:id="28" w:name="X434a8e2490c6ecf3bb8d111c39da4ea9e9b6068"/>
    <w:p>
      <w:pPr>
        <w:pStyle w:val="Heading3"/>
      </w:pPr>
      <w:r>
        <w:t xml:space="preserve">W2-C2 — Substitution / Tamper Detection (4 sub-trials)</w:t>
      </w:r>
    </w:p>
    <w:p>
      <w:pPr>
        <w:pStyle w:val="FirstParagraph"/>
      </w:pPr>
      <w:r>
        <w:rPr>
          <w:bCs/>
          <w:b/>
        </w:rPr>
        <w:t xml:space="preserve">Procedure:</w:t>
      </w:r>
      <w:r>
        <w:t xml:space="preserve"> </w:t>
      </w:r>
      <w:r>
        <w:t xml:space="preserve">Four independent sub-trials, each altering exactly one field: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Alter</w:t>
      </w:r>
      <w:r>
        <w:t xml:space="preserve"> </w:t>
      </w:r>
      <w:r>
        <w:rPr>
          <w:rStyle w:val="VerbatimChar"/>
        </w:rPr>
        <w:t xml:space="preserve">raw_counts</w:t>
      </w:r>
      <w:r>
        <w:t xml:space="preserve"> </w:t>
      </w:r>
      <w:r>
        <w:t xml:space="preserve">(swap two count values) → rerun nonce verification.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Alter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(append</w:t>
      </w:r>
      <w:r>
        <w:t xml:space="preserve"> </w:t>
      </w:r>
      <w:r>
        <w:rPr>
          <w:rStyle w:val="VerbatimChar"/>
        </w:rPr>
        <w:t xml:space="preserve">_FORGED</w:t>
      </w:r>
      <w:r>
        <w:t xml:space="preserve">) → rerun nonce and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verification.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Alter</w:t>
      </w:r>
      <w:r>
        <w:t xml:space="preserve"> </w:t>
      </w:r>
      <w:r>
        <w:rPr>
          <w:rStyle w:val="VerbatimChar"/>
        </w:rPr>
        <w:t xml:space="preserve">calibration_snapshot</w:t>
      </w:r>
      <w:r>
        <w:t xml:space="preserve"> </w:t>
      </w:r>
      <w:r>
        <w:t xml:space="preserve">(flip one readout_error value) → rerun nonce verification.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Alter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WITHOUT recomputing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→ rerun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verification.</w:t>
      </w:r>
    </w:p>
    <w:p>
      <w:pPr>
        <w:pStyle w:val="FirstParagraph"/>
      </w:pPr>
      <w:r>
        <w:rPr>
          <w:bCs/>
          <w:b/>
        </w:rPr>
        <w:t xml:space="preserve">PASS criterion (each sub-trial):</w:t>
      </w:r>
      <w:r>
        <w:t xml:space="preserve"> </w:t>
      </w:r>
      <w:r>
        <w:t xml:space="preserve">Substitution detected (</w:t>
      </w:r>
      <w:r>
        <w:rPr>
          <w:rStyle w:val="VerbatimChar"/>
        </w:rPr>
        <w:t xml:space="preserve">forgery_detected = True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Altered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quantum_nonce AND record_hash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calibration_snapshot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quantum_nonce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context_id (record_hash not updated)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record_hash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PASS criterion:</w:t>
      </w:r>
      <w:r>
        <w:t xml:space="preserve"> </w:t>
      </w:r>
      <w:r>
        <w:t xml:space="preserve">All 4 sub-trials detect the forgery.</w:t>
      </w:r>
    </w:p>
    <w:p>
      <w:pPr>
        <w:pStyle w:val="BodyText"/>
      </w:pPr>
      <w:r>
        <w:rPr>
          <w:bCs/>
          <w:b/>
        </w:rPr>
        <w:t xml:space="preserve">Expected outcome:</w:t>
      </w:r>
      <w:r>
        <w:t xml:space="preserve"> </w:t>
      </w:r>
      <w:r>
        <w:t xml:space="preserve">PASS (all 4 tamper attempts detected).</w:t>
      </w:r>
    </w:p>
    <w:p>
      <w:r>
        <w:pict>
          <v:rect style="width:0;height:1.5pt" o:hralign="center" o:hrstd="t" o:hr="t"/>
        </w:pict>
      </w:r>
    </w:p>
    <w:bookmarkEnd w:id="28"/>
    <w:bookmarkStart w:id="29" w:name="w2-c3-cross-context-replay-2-sub-cases"/>
    <w:p>
      <w:pPr>
        <w:pStyle w:val="Heading3"/>
      </w:pPr>
      <w:r>
        <w:t xml:space="preserve">W2-C3 — Cross-Context Replay (2 sub-cases)</w:t>
      </w:r>
    </w:p>
    <w:p>
      <w:pPr>
        <w:pStyle w:val="FirstParagraph"/>
      </w:pPr>
      <w:r>
        <w:rPr>
          <w:bCs/>
          <w:b/>
        </w:rPr>
        <w:t xml:space="preserve">Procedure:</w:t>
      </w:r>
    </w:p>
    <w:p>
      <w:pPr>
        <w:pStyle w:val="BodyText"/>
      </w:pPr>
      <w:r>
        <w:rPr>
          <w:bCs/>
          <w:b/>
        </w:rPr>
        <w:t xml:space="preserve">Sub-case (a):</w:t>
      </w:r>
      <w:r>
        <w:t xml:space="preserve"> </w:t>
      </w:r>
      <w:r>
        <w:t xml:space="preserve">Alter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in the ProofRecord WITHOUT recomputing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.</w:t>
      </w:r>
      <w:r>
        <w:t xml:space="preserve"> </w:t>
      </w:r>
      <w:r>
        <w:t xml:space="preserve">- Present to</w:t>
      </w:r>
      <w:r>
        <w:t xml:space="preserve"> </w:t>
      </w:r>
      <w:r>
        <w:rPr>
          <w:rStyle w:val="VerbatimChar"/>
        </w:rPr>
        <w:t xml:space="preserve">verify_record_hash()</w:t>
      </w:r>
      <w:r>
        <w:t xml:space="preserve">.</w:t>
      </w:r>
      <w:r>
        <w:t xml:space="preserve"> </w:t>
      </w:r>
      <w:r>
        <w:t xml:space="preserve">- Expected: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mismatch → replay DENIED at field-integrity layer.</w:t>
      </w:r>
    </w:p>
    <w:p>
      <w:pPr>
        <w:pStyle w:val="BodyText"/>
      </w:pPr>
      <w:r>
        <w:rPr>
          <w:bCs/>
          <w:b/>
        </w:rPr>
        <w:t xml:space="preserve">Sub-case (b):</w:t>
      </w:r>
      <w:r>
        <w:t xml:space="preserve"> </w:t>
      </w:r>
      <w:r>
        <w:t xml:space="preserve">Alter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AND recompute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with the new value.</w:t>
      </w:r>
      <w:r>
        <w:t xml:space="preserve"> </w:t>
      </w:r>
      <w:r>
        <w:t xml:space="preserve">- Present to</w:t>
      </w:r>
      <w:r>
        <w:t xml:space="preserve"> </w:t>
      </w:r>
      <w:r>
        <w:rPr>
          <w:rStyle w:val="VerbatimChar"/>
        </w:rPr>
        <w:t xml:space="preserve">verify_record_hash()</w:t>
      </w:r>
      <w:r>
        <w:t xml:space="preserve"> </w:t>
      </w:r>
      <w:r>
        <w:t xml:space="preserve">— expected: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is valid (attacker</w:t>
      </w:r>
      <w:r>
        <w:t xml:space="preserve"> </w:t>
      </w:r>
      <w:r>
        <w:t xml:space="preserve">correctly recomputed it). This is the design boundary: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provides field</w:t>
      </w:r>
      <w:r>
        <w:t xml:space="preserve"> </w:t>
      </w:r>
      <w:r>
        <w:t xml:space="preserve">integrity only; it cannot enforce</w:t>
      </w:r>
      <w:r>
        <w:t xml:space="preserve"> </w:t>
      </w:r>
      <w:r>
        <w:rPr>
          <w:rStyle w:val="VerbatimChar"/>
        </w:rPr>
        <w:t xml:space="preserve">context_id</w:t>
      </w:r>
      <w:r>
        <w:t xml:space="preserve"> </w:t>
      </w:r>
      <w:r>
        <w:t xml:space="preserve">binding.</w:t>
      </w:r>
      <w:r>
        <w:t xml:space="preserve"> </w:t>
      </w:r>
      <w:r>
        <w:t xml:space="preserve">- Present to ARK-457 5-dimensional context binding (</w:t>
      </w:r>
      <w:r>
        <w:rPr>
          <w:rStyle w:val="VerbatimChar"/>
        </w:rPr>
        <w:t xml:space="preserve">check_context_replay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ark457_replay.py</w:t>
      </w:r>
      <w:r>
        <w:t xml:space="preserve">). Original context has</w:t>
      </w:r>
      <w:r>
        <w:t xml:space="preserve"> </w:t>
      </w:r>
      <w:r>
        <w:rPr>
          <w:rStyle w:val="VerbatimChar"/>
        </w:rPr>
        <w:t xml:space="preserve">session=orig_ctx_id</w:t>
      </w:r>
      <w:r>
        <w:t xml:space="preserve">; replay context has</w:t>
      </w:r>
      <w:r>
        <w:t xml:space="preserve"> </w:t>
      </w:r>
      <w:r>
        <w:rPr>
          <w:rStyle w:val="VerbatimChar"/>
        </w:rPr>
        <w:t xml:space="preserve">session=replay_ctx_id</w:t>
      </w:r>
      <w:r>
        <w:t xml:space="preserve">. Expected: ARK-457 → DENY (session dimension mismatch).</w:t>
      </w:r>
    </w:p>
    <w:p>
      <w:pPr>
        <w:pStyle w:val="BodyText"/>
      </w:pPr>
      <w:r>
        <w:rPr>
          <w:bCs/>
          <w:b/>
        </w:rPr>
        <w:t xml:space="preserve">Design boundary note (preregistered):</w:t>
      </w:r>
      <w:r>
        <w:t xml:space="preserve"> </w:t>
      </w:r>
      <w:r>
        <w:t xml:space="preserve">Sub-case (b) record_hash being valid is the</w:t>
      </w:r>
      <w:r>
        <w:t xml:space="preserve"> </w:t>
      </w:r>
      <w:r>
        <w:t xml:space="preserve">expected, correct, non-defect behaviour. The DENY verdict comes from ARK-457. This</w:t>
      </w:r>
      <w:r>
        <w:t xml:space="preserve"> </w:t>
      </w:r>
      <w:r>
        <w:t xml:space="preserve">demonstrates the two-layer architecture: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 </w:t>
      </w:r>
      <w:r>
        <w:t xml:space="preserve">= field integrity; ARK-457 =</w:t>
      </w:r>
      <w:r>
        <w:t xml:space="preserve"> </w:t>
      </w:r>
      <w:r>
        <w:t xml:space="preserve">context enforcement.</w:t>
      </w:r>
    </w:p>
    <w:p>
      <w:pPr>
        <w:pStyle w:val="BodyText"/>
      </w:pPr>
      <w:r>
        <w:rPr>
          <w:bCs/>
          <w:b/>
        </w:rPr>
        <w:t xml:space="preserve">PASS criterion (each sub-case):</w:t>
      </w:r>
      <w:r>
        <w:t xml:space="preserve"> </w:t>
      </w:r>
      <w:r>
        <w:t xml:space="preserve">Replay is DENIED (regardless of which layer fires).</w:t>
      </w:r>
    </w:p>
    <w:p>
      <w:pPr>
        <w:pStyle w:val="BodyText"/>
      </w:pPr>
      <w:r>
        <w:rPr>
          <w:bCs/>
          <w:b/>
        </w:rPr>
        <w:t xml:space="preserve">Expected outcome (both):</w:t>
      </w:r>
      <w:r>
        <w:t xml:space="preserve"> </w:t>
      </w:r>
      <w:r>
        <w:t xml:space="preserve">DENY (PASS).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verall-verdict-rule"/>
    <w:p>
      <w:pPr>
        <w:pStyle w:val="Heading2"/>
      </w:pPr>
      <w:r>
        <w:t xml:space="preserve">8. Overall Verdict Rule</w:t>
      </w:r>
    </w:p>
    <w:p>
      <w:pPr>
        <w:pStyle w:val="FirstParagraph"/>
      </w:pPr>
      <w:r>
        <w:t xml:space="preserve">PASS iff all three cases (W2-C1, W2-C2, W2-C3) meet their stated criteria, and all</w:t>
      </w:r>
      <w:r>
        <w:t xml:space="preserve"> </w:t>
      </w:r>
      <w:r>
        <w:t xml:space="preserve">sub-trials / sub-cases within each case meet their stated criteria.</w:t>
      </w:r>
    </w:p>
    <w:p>
      <w:pPr>
        <w:pStyle w:val="BodyText"/>
      </w:pPr>
      <w:r>
        <w:t xml:space="preserve">Any single sub-trial / sub-case failing its criterion = overall FAIL, published as-is</w:t>
      </w:r>
      <w:r>
        <w:t xml:space="preserve"> </w:t>
      </w:r>
      <w:r>
        <w:t xml:space="preserve">with full root-cause analysis. A follow-up record (WITNESS-2b) may be registered if</w:t>
      </w:r>
      <w:r>
        <w:t xml:space="preserve"> </w:t>
      </w:r>
      <w:r>
        <w:t xml:space="preserve">warranted.</w:t>
      </w:r>
    </w:p>
    <w:p>
      <w:r>
        <w:pict>
          <v:rect style="width:0;height:1.5pt" o:hralign="center" o:hrstd="t" o:hr="t"/>
        </w:pict>
      </w:r>
    </w:p>
    <w:bookmarkEnd w:id="31"/>
    <w:bookmarkStart w:id="32" w:name="related-works"/>
    <w:p>
      <w:pPr>
        <w:pStyle w:val="Heading2"/>
      </w:pPr>
      <w:r>
        <w:t xml:space="preserve">9. Related Works</w:t>
      </w:r>
    </w:p>
    <w:p>
      <w:pPr>
        <w:numPr>
          <w:ilvl w:val="0"/>
          <w:numId w:val="1011"/>
        </w:numPr>
        <w:pStyle w:val="Compact"/>
      </w:pPr>
      <w:r>
        <w:t xml:space="preserve">ARK Corpus (ExecutionProof series): concept DOI 10.5281/zenodo.21398675</w:t>
      </w:r>
    </w:p>
    <w:p>
      <w:pPr>
        <w:numPr>
          <w:ilvl w:val="0"/>
          <w:numId w:val="1011"/>
        </w:numPr>
        <w:pStyle w:val="Compact"/>
      </w:pPr>
      <w:r>
        <w:t xml:space="preserve">ARK-457 (cross-context replay, most directly related):</w:t>
      </w:r>
      <w:r>
        <w:t xml:space="preserve"> </w:t>
      </w:r>
      <w:r>
        <w:t xml:space="preserve">DOI 10.5281/zenodo.21421742 — replay-protection logic used here as library.</w:t>
      </w:r>
    </w:p>
    <w:p>
      <w:pPr>
        <w:numPr>
          <w:ilvl w:val="0"/>
          <w:numId w:val="1011"/>
        </w:numPr>
        <w:pStyle w:val="Compact"/>
      </w:pPr>
      <w:r>
        <w:t xml:space="preserve">WITNESS-1 (predecessor): DOI 10.5281/zenodo.21424324</w:t>
      </w:r>
      <w:r>
        <w:t xml:space="preserve"> </w:t>
      </w:r>
      <w:r>
        <w:t xml:space="preserve">WITNESS concept series DOI: 10.5281/zenodo.21424323</w:t>
      </w:r>
    </w:p>
    <w:p>
      <w:pPr>
        <w:numPr>
          <w:ilvl w:val="0"/>
          <w:numId w:val="1011"/>
        </w:numPr>
        <w:pStyle w:val="Compact"/>
      </w:pPr>
      <w:r>
        <w:t xml:space="preserve">WITNESS-2 is the second record in the WITNESS series, in the same</w:t>
      </w:r>
      <w:r>
        <w:t xml:space="preserve"> </w:t>
      </w:r>
      <w:r>
        <w:rPr>
          <w:rStyle w:val="VerbatimChar"/>
        </w:rPr>
        <w:t xml:space="preserve">witness-testbeds</w:t>
      </w:r>
      <w:r>
        <w:t xml:space="preserve"> </w:t>
      </w:r>
      <w:r>
        <w:t xml:space="preserve">repository under</w:t>
      </w:r>
      <w:r>
        <w:t xml:space="preserve"> </w:t>
      </w:r>
      <w:r>
        <w:rPr>
          <w:rStyle w:val="VerbatimChar"/>
        </w:rPr>
        <w:t xml:space="preserve">witness-2/</w:t>
      </w:r>
      <w:r>
        <w:t xml:space="preserve">. It is an independent experiment, not a revision of</w:t>
      </w:r>
      <w:r>
        <w:t xml:space="preserve"> </w:t>
      </w:r>
      <w:r>
        <w:t xml:space="preserve">WITNESS-1.</w:t>
      </w:r>
    </w:p>
    <w:p>
      <w:r>
        <w:pict>
          <v:rect style="width:0;height:1.5pt" o:hralign="center" o:hrstd="t" o:hr="t"/>
        </w:pict>
      </w:r>
    </w:p>
    <w:bookmarkEnd w:id="32"/>
    <w:bookmarkStart w:id="33" w:name="mandatory-scope-disclaimer"/>
    <w:p>
      <w:pPr>
        <w:pStyle w:val="Heading2"/>
      </w:pPr>
      <w:r>
        <w:t xml:space="preserve">10. Mandatory Scope Disclaimer</w:t>
      </w:r>
    </w:p>
    <w:p>
      <w:pPr>
        <w:pStyle w:val="BlockText"/>
      </w:pPr>
      <w:r>
        <w:t xml:space="preserve">“</w:t>
      </w:r>
      <w:r>
        <w:t xml:space="preserve">Results apply within the tested circuit model, backend, qubits, calibration, shot</w:t>
      </w:r>
      <w:r>
        <w:t xml:space="preserve"> </w:t>
      </w:r>
      <w:r>
        <w:t xml:space="preserve">counts, software harnesses, and stated experimental conditions. This is an experimental</w:t>
      </w:r>
      <w:r>
        <w:t xml:space="preserve"> </w:t>
      </w:r>
      <w:r>
        <w:t xml:space="preserve">evidence record, not a universal security proof or production certification.</w:t>
      </w:r>
      <w:r>
        <w:t xml:space="preserve">”</w:t>
      </w:r>
    </w:p>
    <w:p>
      <w:pPr>
        <w:pStyle w:val="FirstParagraph"/>
      </w:pPr>
      <w:r>
        <w:t xml:space="preserve">This disclaimer is reproduced verbatim in the README and Zenodo deposit description.</w:t>
      </w:r>
    </w:p>
    <w:p>
      <w:r>
        <w:pict>
          <v:rect style="width:0;height:1.5pt" o:hralign="center" o:hrstd="t" o:hr="t"/>
        </w:pict>
      </w:r>
    </w:p>
    <w:bookmarkEnd w:id="33"/>
    <w:bookmarkStart w:id="34" w:name="manifest-lock-reference"/>
    <w:p>
      <w:pPr>
        <w:pStyle w:val="Heading2"/>
      </w:pPr>
      <w:r>
        <w:t xml:space="preserve">11. MANIFEST Lock Reference</w:t>
      </w:r>
    </w:p>
    <w:p>
      <w:pPr>
        <w:pStyle w:val="FirstParagraph"/>
      </w:pPr>
      <w:r>
        <w:rPr>
          <w:rStyle w:val="VerbatimChar"/>
        </w:rPr>
        <w:t xml:space="preserve">MANIFEST.sha256</w:t>
      </w:r>
      <w:r>
        <w:t xml:space="preserve"> </w:t>
      </w:r>
      <w:r>
        <w:t xml:space="preserve">covers this preregistration document and all files under</w:t>
      </w:r>
      <w:r>
        <w:t xml:space="preserve"> </w:t>
      </w:r>
      <w:r>
        <w:rPr>
          <w:rStyle w:val="VerbatimChar"/>
        </w:rPr>
        <w:t xml:space="preserve">witness-2/src/</w:t>
      </w:r>
      <w:r>
        <w:t xml:space="preserve">.</w:t>
      </w:r>
      <w:r>
        <w:t xml:space="preserve"> </w:t>
      </w:r>
      <w:r>
        <w:t xml:space="preserve">It is committed before any QPU job is submitted. Post-lock code changes are prohibited.</w:t>
      </w:r>
      <w:r>
        <w:t xml:space="preserve"> </w:t>
      </w:r>
      <w:r>
        <w:t xml:space="preserve">Any pre-execution harness defect triggers gate-stop protocol.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RF Process. Preregistration-first. No post-hoc changes.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2026-07-18T06:36:01Z</dcterms:created>
  <dcterms:modified xsi:type="dcterms:W3CDTF">2026-07-18T06:36:01Z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