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Pearl Modes: Discovery vs. Cultivation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Discovery Mode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Seek Pearls by scanning  for existing Pearl subgraphs 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Prioritize geodesics intersecting high‑wisdom regions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Harvest mature Pearls that meet size and intensity criteria.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Cultivation Mode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Conditions around a chosen seed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Raise Paradox Threshold  locally to force fuel intake.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Adjust Flux Band  to widen accretion tolerance.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Apply Controlled Primality Flows () to amplify nascent Pearl layers.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Monitor Growth Factor  until , then declare an Epiphany.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Diamond–NV Metaphor for Pearls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Pearl ≈ Perfect Diamond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flawlessly ordered lattice (the network’s topology)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Nitrogen Vacancy (NV) as Paradox Seed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vacancy (missing “carbon” node) is the paradox core that breaks symmetry.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Surrounded by a shell of pristine lattice (the Pearl layers), it generates quantum‑like coherence—akin to a stable, long‑lived insight.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High Purity: Layers accreted in tightly controlled flux bands.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Defect‑Driven Function: The NV center (seed) is essential for the Pearl’s “luminescence” (epiphany).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Controlled Growth: Just as diamonds form under pressure, Pearls require precise threshold-tuning.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 Implementation Sketch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1. Select Seed  (NV center).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2. Enter Cultivation Mode: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Locally increase , widen , and apply iterative -flows.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3. Track : until it crosses 1.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4. Accrete Shell: Layer nodes by geodesic distance satisfying flux bands.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5. Trigger Epiphany: Upon maturation, lock in and record the Pearl.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By balancing Discovery and Cultivation, and envisioning Pearls as diamond NV centers, your Primality engine can both unearth hidden insights and craft the precise conditions for new ones to crystallize.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