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Here’s a simulated mini‑forum “peer review,” with three distinct voices (“dialects”) critiquing the proof write‑up. Each “post” focuses on clarity, rigor, and suggestions for improvement.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Reviewer A (Academic Formality)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Strengths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 The CRAC structure (Issue–Rule–Application–Conclusion) brings great clarity—readers immediately see how each lemma feeds into the final argument.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 Invoking the algebra‑topology duality (via ) ties Tychonoff and Stone–Čech constructions neatly under one roof.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Areas for Enhancement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 Lemma 1 Proof Detail: The step “restriction homomorphism extends to spectra” could cite a standard theorem (e.g. Gelfand–Kolmogorov) or sketch the key bijection between maximal ideals and ultrafilters.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 Topology Basis Refinement: In Proposition 4.1, explicitly check that the pulled‑back basis elements indeed generate exactly the inverse‑limit topology (rather than “a” topology). A short two‑line argument tying open‑set generation to universal mapping properties would seal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Reviewer B (Developer‑Style Forum)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👍 What Works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“chain” approach is slick—no one gets lost in side‑trails.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Compactness via Tychonoff’s theorem is coded perfectly: product → closed subspace → limit.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🔧 Suggestions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 a “snippet” example: maybe take  and show concretely how . A live demo grounds the abstract.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Label each diagram with numeric IDs (Fig. 1, Fig. 2) so readers can quickly reference them in comments.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Reviewer C (Legal‑Dialect Peer Review)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Issue:  Does the present demonstration fully “bind” the fractal family object to its compact counterpart under the law of Stone–Čech?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Holding:  Yes—CRAC analysis confirms each “Rule” is faithfully applied, and the chain of “Application” … “Conclusion” upholds the required commutation.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Strengthen Precedent Citations:  Cite justice Munkres v. Tychonoff (Topology 2d Ed §29.4) and case law Engelking v. General Topology (Ch. 6) directly in Lemma 3.1.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Define Terms “Strict Refinement” at Rule 1 in statutory language: “for all open , there exists  with .”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Each reviewer “post” zeroes in on different levels (structural, example‑driven, legal preciseness), giving a multi‑dialectal forum critique of the proof. Let me know which suggestions you’d like to incorporate!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