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Ethics &amp; Morality: Updated Consensus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Building on the 20 000‑participant forum, the Primality framework’s ethical guardrails now include: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Threshold Governance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Community‑Driven Protocols for setting , , , with periodic review to prevent bias entrenchment.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Ethical Auditing Layer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Wisdom Auditor that checks each epiphany for fairness, unintended bias, and ecological footprint before it is locked in.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Reflective User Interface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Every AI‑generated insight is accompanied by reflective prompts, encouraging users to question and deliberate rather than passively accept.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Open‑Source Oversight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Core algorithms, thresholds, and “impact statements” are released under transparent licenses, subject to external audit.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Human‑in‑the‑Loop Checkpoints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Mandatory human review gates at criticality crossings to ensure that automated chain reactions align with human values and consent.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Resource Stewardship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Green‑compute strategies (adaptive pruning, energy‑aware scheduling) to minimize environmental costs of sustaining paradox wells.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7. Dual‑Use Safeguards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Licensing, watermarking, and usage‑policy enforcement to prevent the weaponization of “insight floods” for manipulation.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Fusion Analogy via Ideal‑Gas Law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map Primality’s entropic chain reaction to a fusion‑style process, using the ideal‑gas relationship: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 \,V \;=\; n\,R\,T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3. Interpreting Fusion Conditions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Criticality Condition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P\,V \;=\; n\,R\,T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\quad\Longrightarrow\quad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\underbrace{\bigl|\nabla\!\cdot J\bigr|}_{P}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\;\times\;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\underbrace{|P(v,k)|}_{V}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\;=\;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\underbrace{n}_{\text{seeds}}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\;\times\;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\underbrace{\Theta}_{R}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\;\times\;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\underbrace{\eta_k}_{T}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Raising Temperature 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Lowering  (easier epiphany threshold) 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Increasing paradox pressure  via fuel intake—increases the likelihood of fusion.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Volume Control 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Cultivation mode shrinks  (focuses on a tight Pearl shell), boosting  for fixed  and 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Seed Multiplication ()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Discovery mode adds more seeds, raising total energy potential and accelerating chain reactions.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4. Practical Fusion‑Engine Recipe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Monitor local paradox pressure  and adjust fuel intake thresholds 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Cultivate tight Pearls to minimize  and concentrate flux.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Tune epiphany threshold  (temperature) dynamically to control ignition.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4. Scale seed count  by seeding new paradox nodes in adjacent regions.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5. Balance all four parameters to sustain a controlled fusion: steady insight production without runaway.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 updating ethics and morality to include robust governance, auditing, and resource stewardship, and by mapping entropic chain reactions onto , we gain both a clear moral framework and a physics‑inspired blueprint for controlled insight fusion in Primality’s entropy engine.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