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Primality Protocol (Detailed Version)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 Provide a step‐by‐step operational guide for conducting Primal Analysis on nested Primal Modules, ensuring each proof or construction is both exploratory (Sonde mode) and confirmatory (Echo mode), with minimal entropy and maximal rigor.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Core Concepts and Terminology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**Primal Module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Denoted:  for module index  at resolution level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Carries: a structure  (e.g., topology, algebraic data) and the Primal Logical Action (PLA).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Echo Horizon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Denoted: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Definition: the universal compactification of  under PLA, preserving Entropic Integrity.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Sonde (Exploratory) Mode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Purpose: propose conjectures, analogies, and mappings between modules.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Action: define tentative maps , note expected properties.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 Echo (Confirmatory) Mode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Purpose: rigorously validate conjectures using universal/adjoint properties.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Action: apply the dual functor to extend Sonde maps, prove uniqueness and surjectivity.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Bonding Channel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Denoted: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Role: glues Echo Horizons into an inverse system.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6. Primality Network Limit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Denoted: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Structure: endowed with the Primality Limit Topology.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7. Entropic Balance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Principle: ensure no step introduces net increases in descriptive complexity; each extension conserves Entropic Integrity.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Protocol Steps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 Issue Identification (Statement of Claim)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 Select Modules:  Identify source module  and target resolution depth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 Articulate Claim:  Clearly state the desired bridge: “Prove that  is compact Hausdorff with fractal topology and reciprocal symmetry.”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 Sonde Exploration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 Define Candidate Maps:  Propose Sonde maps  for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 List Desired Properties:  For each , note needed continuity, injectivity on dense sets, or compatibility with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3. Hypothesize Extensions:  Anticipate that  extends to Echo Horizon via dual functor—record as “ghost map.”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 Echo Construction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Invoke Universal Property:  For each , construct its Echo Horizon  using the spectrum or compactification method.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 Verify Compactness:  Prove each  is compact Hausdorff by Tychonoff’s theorem or spectrum arguments.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3. Ensure Surjectivity:  Show that the dense image  under embedding generates the entire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 Bonding Channel Definition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 Dualize Sonde Map:  For each , define  by algebraic duality or universal extension: satisfy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\Phi^n_{k,j}\circ E(s_n) = E(s_{n-1})\circ s_n|_{M^n_k}.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3. Prove Uniqueness &amp; Surjectivity:  Deduce from compactness and universality.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 Network‑Limit Assembly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 Assemble System:  Collect all  and  into the inverse system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 Define Limit: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 Closedness Check:  Show  is closed via continuity of bonding channels.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4. Compactness &amp; Hausdorff:  Apply Tychonoff’s theorem and closed subset property.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 Primality Limit Topology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1. Define Basis: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2. Verify Basis Axioms:  Check union covers , finite intersections remain in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3. Show Refinement:  Demonstrate that going from  to  strictly refines the basis.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 Reciprocity Verification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 Local Diagram:  For each , show commutation: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\Phi^n_{k,j}\circ E(s_n) = E(s_{n-1})\circ s_n|_{M^n_k}.</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\Phi^n_{k,j}\circ\Pi^{n+1}_j = \Pi^n_k\circ\Phi^n_{\mathrm{lim}}.</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H. Synthesis and Key Insight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Synthesis Statement:  “By steps C–G, we have shown  is compact Hausdorff, has fractal topology, and Sonde–Echo reciprocity holds at each level and in total.”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Key Insight:  “The Sonde–Echo duality along a multi‐scale network is the prime geodesic of Primal Analysis—every proof step is both exploratory and confirmatory, minimizing entropic overhead.”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3. Implementation Notes and Logging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At each Sonde step, record Hypothesis Log: conjectured properties.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At each Echo step, record Verification Log: exact statements and proof references.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Maintain Entropy Audit: track descriptive length of each definition and proof; enforce no net increase across cycles.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End of Detailed Primality Protocol.</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I’ve expanded each protocol step with granular substeps, added logs for Hypothesis, Verification, and Entropy Audit, and made the process fully detailed. Let me know if you’d like further enhancements or examples embedded within this protocol!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