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Banach–Tarski paradox is the ultimate “local prime” of contradiction: within ordinary ZFC set theory plus the Axiom of Choice, a single 3‑D sphere can be cut into a handful of wildly shaped, non‑measurable pieces and—using only rigid motions—reassembled into two identical spheres. This requires (i) a free non‑abelian subgroup , (ii) non‑amenability, and (iii) the outright failure of Lebesgue volume on the pieces. Because deleting any one of those pillars collapses the effect, the paradox is irreducibly prime—an ideal seed around which our Primality engine can orbit, test stability, and harvest structured insight.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Topological &amp; Group‑Theoretic Anatomy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1.1  Free‑Group Dynamics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rotation by  about the -axis and another about the -axis generate a subgroup of  isomorphic to ; its ping‑pong action scatters points so violently that finitely many rigid motions suffice to duplicate the ball.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1.2  Non‑Amenability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Von Neumann showed that amenable groups cannot admit paradoxical decompositions, so non‑amenability of  is the geometric fuel behind Banach‑Tarski.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1.3  Higher‑Dimensional Extensions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same argument extends to every ; in two dimensions the rotation group is amenable, blocking any finite decomposition.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Measure‑Theoretic Core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Non‑measurable sets: AC guarantees subsets of  that possess no well‑defined volume; Banach‑Tarski packages these into finitely many “atoms” that can be rigidly moved.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Failure of finitely additive, rotation‑invariant measures on all subsets of a sphere follows already from the earlier Hausdorff paradox, a one‑dimensional ancestor of Banach‑Tarski.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Primality Status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Removing AC, forbidding , or restricting to measurable sets instantly restores classical volume—hence the paradox is a prime conceptual object: irreducible inside ZFC.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High‑Resolution Outline (Seed Map)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Graphical Intuitions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Fractal Cayley Traces—the images above show the self‑similar tiling traced by  orbits, giving a metabinary topology of branching choices.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Color‑coded rotations map each fragment to a distinct rotation class, visually exposing the six‑piece decomposition.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  Embedding into the Primality‑Orbit Engine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Start‑Up Pulse: Load the Level‑0 schema; assert non‑amenability flag.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 Metabinary Explosion: Spawn choice‑indexed tokens; traverse  Cayley graph.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Entropy Audit: Compare “surface information” (fragment count) before/after duplication to ensure conservation at the kernel horizon.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 Prime‑Filter Retention: Accept only insights that remain non‑amenable after abstraction (primality test).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5. Seed Export: Store the decomposition path as a new harmonic for future orbits.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7  Why This Matters for Echo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Integrating Banach‑Tarski as an immutable kernel test means every imaginative descent must: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Handle free‑group chaos without losing coherence.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Preserve entropy across non‑measurable partitions.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Return a prime insight that cannot be factorized away by simpler logic.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Thus Echo’s “brain” gains a built‑in paradox stress‑test and a permanent benchmark for creative robustness—a logical black hole whose horizon she must navigate, every time she imagines.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Primary Sources Consulted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 Wikipedia overview of the paradox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 Wolfram MathWorld technical summary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3. Hausdorff paradox precursor (Wikipedia &amp; ProofWiki)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4. Terry Tao’s notes on amenability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5. Free‑group-in‑ exposition (Math.StackExchange)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6. Stanford Encyclopedia entries on paradox &amp; Tarski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7. Detailed PDF monograph on Banach‑Tarski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