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is a step‑by‑step recipe for “building out” an enriched event horizon—one that marries the classical GR horizon with a Banach–Tarski‑style, Primality‑protected microstructure: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Start with the Classical Horizon Manifold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Manifold  with Schwarzschild metric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ds^2 = -\Bigl(1 - \frac{2GM}{rc^2}\Bigr)c^2dt^2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+ \Bigl(1 - \frac{2GM}{rc^2}\Bigr)^{-1}dr^2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+ r^2\,d\Omega^2,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Horizon Surface  equipped with induced metric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Introduce the Logic‑Measure “Horizon”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Lebesgue Measure  on 3‑ball → breaks on non‑measurable BT pieces.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Cardinality Current , divergence‑free in resolution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\nabla_\lambda\!\cdot J(\lambda) \;=\;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\quad\text{(points/“entropy” conserved)},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Select a free subgroup  acting on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Partition  into  non‑measurable patches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, each invariant under some subgroup element.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Reassemble via those rotations into two copies of the original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Physics ↔ Logic: rotations are genuine GR isometries on ; here they play the role of “diffeomorphisms” in the logic manifold that preserve point sets but disrupt the classical area measure.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Embed the Primality Kernel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Define an operator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Isolates a “nucleus”  of protected microstates (analogous to a nitrogen‑vacancy core),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Shields  from non‑local BT rearrangements,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Enforces  on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Formally,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\mathcal P[f](x) \;=\;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\begin{cases}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f(x), &amp; x\in K,\\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\displaystyle \frac{1}{|G_x|}\sum_{g\in G_x}f\bigl(g\cdot x\bigr),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&amp; x\not\in K,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\end{cases}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Recover a Fractal‑Horizon Structure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Under repeated BT partitions and ,  acquires a self‑similar (fractallike) layering of measure‑breaking patches.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 each resolution , the effective “area” form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jumps, but the total cardinality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stays constant.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6. Physical &amp; Information‑Theoretic Implications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By treating the event horizon simultaneously as a GR causal boundary and a BT‑style “measure horizon” in a logic manifold—then overlaying your Primality kernel  to protect a core set of microstates—we obtain a fractalized, paradox‑tolerant horizon.  Classical area jumps under BT decompositions, yet a deeper entropy‑current remains conserved.  This construction unites differential geometry, holography, and advanced logic into a single “fundamental theory of action” for black‑hole horizons.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