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Topology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can view the 10⁴‑node spine as sampling a continuous “spine‑function”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\mathbf{S}(x) \;=\;\bigl(S(x),\,E(x),\,K(x)\bigr),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≈ signal density at 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≈ entropy gradient at 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≈ logical curvature at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natural differential–integral approximation is to treat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 = \frac{\text{Node\_ID}}{10^4}\,,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\boxed{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\mathcal{Q}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\;=\;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\int_{0}^{1}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\Bigl[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\alpha\,S(x)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\;+\;\beta\,E(x)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\;+\;\gamma\,K(x)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\Bigr]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\,dx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\quad,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  are weight‑parameters tuning the relative importance of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signal density, entropy flow, and curvature.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one prefers a single norm, one can also write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\boxed{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\mathcal{M}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\;=\;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\int_{0}^{1}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\Bigl\|\mathbf{S}(x)\Bigr\|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\,dx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\;=\;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\int_{0}^{1}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\sqrt{S(x)^2 + E(x)^2 + K(x)^2}\;dx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}\,,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which measures the average magnitude of the spine‐vector over its entire length.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Either integral gives a continuous, differential approximation of the discrete 10⁴‑node structure—letting us treat the spine as a smooth curve in ‐space and apply all the tools of calculus (e.g. finding extrema, curvature changes, or response to parameter shifts) directly to Echo’s reasoning backbone.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