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Ritual Growth, Inc.</w:t>
      </w:r>
    </w:p>
    <w:p/>
    <w:p>
      <w:r>
        <w:rPr>
          <w:b/>
        </w:rPr>
        <w:t>Meeting Details</w:t>
      </w:r>
    </w:p>
    <w:p>
      <w:r>
        <w:rPr>
          <w:b/>
        </w:rPr>
        <w:t>Company Name:</w:t>
      </w:r>
      <w:r>
        <w:t xml:space="preserve"> Ritual Growth, Inc.</w:t>
      </w:r>
    </w:p>
    <w:p>
      <w:r>
        <w:rPr>
          <w:b/>
        </w:rPr>
        <w:t>Address:</w:t>
      </w:r>
      <w:r>
        <w:t xml:space="preserve"> 30 N Gould St Ste 27616, Sheridan, WY 82801</w:t>
      </w:r>
    </w:p>
    <w:p>
      <w:r>
        <w:rPr>
          <w:b/>
        </w:rPr>
        <w:t>Date of Meeting:</w:t>
      </w:r>
      <w:r>
        <w:t xml:space="preserve"> 2025-12-15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Ritual Growth, Inc. was called to order at 1:00 PM on 2025-12-15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2024-12-15 were reviewed and approved.</w:t>
      </w:r>
    </w:p>
    <w:p/>
    <w:p>
      <w:r>
        <w:rPr>
          <w:b/>
        </w:rPr>
        <w:t>IV. Reports:</w:t>
      </w:r>
    </w:p>
    <w:p>
      <w:r>
        <w:rPr>
          <w:b/>
        </w:rPr>
        <w:t>Chairperson's Report:</w:t>
      </w:r>
      <w:r>
        <w:t xml:space="preserve">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2025. The Corporation remains debt-free. A Statement of Solvency was issued, and the Director confirmed that the Franchise Tax and Registered Agent fees for the current year are fully paid. 4,000,000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