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III, Section 13</w:t>
      </w:r>
      <w:r>
        <w:t xml:space="preserve"> of the Corporation’s </w:t>
      </w:r>
      <w:r>
        <w:rPr>
          <w:b/>
        </w:rPr>
        <w:t>Amended and Restated Bylaws</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08,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III, Section 13(b)</w:t>
      </w:r>
      <w:r>
        <w:t xml:space="preserve"> of those Bylaws, written consents must be delivered to the Corporation within </w:t>
      </w:r>
      <w:r>
        <w:rPr>
          <w:b/>
        </w:rPr>
        <w:t>sixty (60) days</w:t>
      </w:r>
      <w:r>
        <w:t xml:space="preserve"> of the earliest dated consent; delivery to the registered office, if used, must be by hand or by certified or registered mail, return receipt requested, as set forth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08, 2025</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08,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