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2025-12-09</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2025-12-09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IV. Approval of Prior Minutes</w:t>
      </w:r>
    </w:p>
    <w:p>
      <w:r>
        <w:t>The minutes of the prior Annual Meeting of the Board of Directors held on 2024-12-10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(2025)</w:t>
      </w:r>
    </w:p>
    <w:p>
      <w:r>
        <w:t xml:space="preserve">The Sole Director noted that stockholder matters for 2025 under </w:t>
      </w:r>
      <w:r>
        <w:rPr>
          <w:b/>
        </w:rPr>
        <w:t>Section 228</w:t>
      </w:r>
      <w:r>
        <w:t xml:space="preserve"> of the DGCL are reflected in a </w:t>
      </w:r>
      <w:r>
        <w:rPr>
          <w:b/>
        </w:rPr>
        <w:t>Written Consent of Sole Stockholder</w:t>
      </w:r>
      <w:r>
        <w:t xml:space="preserve"> dated </w:t>
      </w:r>
      <w:r>
        <w:rPr>
          <w:b/>
        </w:rPr>
        <w:t>December 09, 2025</w:t>
      </w:r>
      <w:r>
        <w:t xml:space="preserve"> (separate instrument for this year). The </w:t>
      </w:r>
      <w:r>
        <w:rPr>
          <w:b/>
        </w:rPr>
        <w:t>executed</w:t>
      </w:r>
      <w:r>
        <w:t xml:space="preserve"> consent </w:t>
      </w:r>
      <w:r>
        <w:rPr>
          <w:b/>
        </w:rPr>
        <w:t>will be filed</w:t>
      </w:r>
      <w:r>
        <w:t xml:space="preserve"> with the minutes of the stockholders </w:t>
      </w:r>
      <w:r>
        <w:rPr>
          <w:b/>
        </w:rPr>
        <w:t>upon signature</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