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Action by Written Consent of Stockholders</w:t>
      </w:r>
    </w:p>
    <w:p>
      <w:r>
        <w:t>(Delaware General Corporation Law §228; annual meeting of stockholders under §211)</w:t>
      </w:r>
    </w:p>
    <w:p/>
    <w:p>
      <w:r>
        <w:rPr>
          <w:b/>
        </w:rPr>
        <w:t>Sole stockholder — why a §228 consent?</w:t>
      </w:r>
    </w:p>
    <w:p>
      <w:r>
        <w:t xml:space="preserve">When </w:t>
      </w:r>
      <w:r>
        <w:rPr>
          <w:b/>
        </w:rPr>
        <w:t>one</w:t>
      </w:r>
      <w:r>
        <w:t xml:space="preserve"> stockholder holds </w:t>
      </w:r>
      <w:r>
        <w:rPr>
          <w:b/>
        </w:rPr>
        <w:t>all</w:t>
      </w:r>
      <w:r>
        <w:t xml:space="preserve"> votes entitled to be cast on the matters below, those votes can still be recorded either at a </w:t>
      </w:r>
      <w:r>
        <w:rPr>
          <w:b/>
        </w:rPr>
        <w:t>meeting of stockholders</w:t>
      </w:r>
      <w:r>
        <w:t xml:space="preserve"> or by </w:t>
      </w:r>
      <w:r>
        <w:rPr>
          <w:b/>
        </w:rPr>
        <w:t>written consent under §228</w:t>
      </w:r>
      <w:r>
        <w:t xml:space="preserve">. This instrument </w:t>
      </w:r>
      <w:r>
        <w:rPr>
          <w:b/>
        </w:rPr>
        <w:t>is</w:t>
      </w:r>
      <w:r>
        <w:t xml:space="preserve"> that sole holder’s consent—the same approvals that could be given at a meeting—without holding a separate stockholder meeting. Counsel should confirm the </w:t>
      </w:r>
      <w:r>
        <w:rPr>
          <w:b/>
        </w:rPr>
        <w:t>certificate of incorporation</w:t>
      </w:r>
      <w:r>
        <w:t xml:space="preserve"> and </w:t>
      </w:r>
      <w:r>
        <w:rPr>
          <w:b/>
        </w:rPr>
        <w:t>bylaws</w:t>
      </w:r>
      <w:r>
        <w:t xml:space="preserve"> permit this path.</w:t>
      </w:r>
    </w:p>
    <w:p/>
    <w:p/>
    <w:p>
      <w:r>
        <w:t>The undersigned, being the sole stockholder of Ritual Growth,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 Section 9</w:t>
      </w:r>
      <w:r>
        <w:t xml:space="preserve"> of the </w:t>
      </w:r>
      <w:r>
        <w:rPr>
          <w:b/>
        </w:rPr>
        <w:t>By-Laws of Ritual Growth, Inc.</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09, 2025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2025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 Section 9</w:t>
      </w:r>
      <w:r>
        <w:t xml:space="preserve"> of those By-Laws, delivery to the Corporation’s registered office shall be by hand or by certified or registered mail, return receipt requested, where that delivery method is used; </w:t>
      </w:r>
      <w:r>
        <w:rPr>
          <w:b/>
        </w:rPr>
        <w:t>prompt notice</w:t>
      </w:r>
      <w:r>
        <w:t xml:space="preserve"> of action taken without a meeting is required when consent is less than unanimous among applicable stockholders, as described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Execution (required)</w:t>
      </w:r>
    </w:p>
    <w:p>
      <w:r>
        <w:t xml:space="preserve">This Written Consent is </w:t>
      </w:r>
      <w:r>
        <w:rPr>
          <w:b/>
        </w:rPr>
        <w:t>not</w:t>
      </w:r>
      <w:r>
        <w:t xml:space="preserve"> effective as a corporate record until </w:t>
      </w:r>
      <w:r>
        <w:rPr>
          <w:b/>
        </w:rPr>
        <w:t>signed and dated</w:t>
      </w:r>
      <w:r>
        <w:t xml:space="preserve"> by the </w:t>
      </w:r>
      <w:r>
        <w:rPr>
          <w:b/>
        </w:rPr>
        <w:t>Sole Stockholder</w:t>
      </w:r>
      <w:r>
        <w:t xml:space="preserve"> (or a duly authorized representative, if applicable) and </w:t>
      </w:r>
      <w:r>
        <w:rPr>
          <w:b/>
        </w:rPr>
        <w:t>filed</w:t>
      </w:r>
      <w:r>
        <w:t xml:space="preserve"> with the minutes of the stockholders. The signature and date below satisfy the </w:t>
      </w:r>
      <w:r>
        <w:rPr>
          <w:b/>
        </w:rPr>
        <w:t>dated-signature</w:t>
      </w:r>
      <w:r>
        <w:t xml:space="preserve"> mechanics under the DGCL and the Corporation’s bylaws where applicable.</w:t>
      </w:r>
    </w:p>
    <w:p/>
    <w:p>
      <w:r>
        <w:rPr>
          <w:b/>
        </w:rPr>
        <w:t>Effective Date</w:t>
      </w:r>
    </w:p>
    <w:p>
      <w:r>
        <w:t xml:space="preserve">Upon </w:t>
      </w:r>
      <w:r>
        <w:rPr>
          <w:b/>
        </w:rPr>
        <w:t>execution</w:t>
      </w:r>
      <w:r>
        <w:t xml:space="preserve">, this Written Consent is dated </w:t>
      </w:r>
      <w:r>
        <w:rPr>
          <w:b/>
        </w:rPr>
        <w:t>effective as of December 09, 2025</w:t>
      </w:r>
      <w:r>
        <w:t xml:space="preserve">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09,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