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rPr>
          <w:b/>
        </w:rPr>
        <w:t>Sole stockholder — why a §228 consent?</w:t>
      </w:r>
    </w:p>
    <w:p>
      <w:r>
        <w:t xml:space="preserve">When </w:t>
      </w:r>
      <w:r>
        <w:rPr>
          <w:b/>
        </w:rPr>
        <w:t>one</w:t>
      </w:r>
      <w:r>
        <w:t xml:space="preserve"> stockholder holds </w:t>
      </w:r>
      <w:r>
        <w:rPr>
          <w:b/>
        </w:rPr>
        <w:t>all</w:t>
      </w:r>
      <w:r>
        <w:t xml:space="preserve"> votes entitled to be cast on the matters below, those votes can still be recorded either at a </w:t>
      </w:r>
      <w:r>
        <w:rPr>
          <w:b/>
        </w:rPr>
        <w:t>meeting of stockholders</w:t>
      </w:r>
      <w:r>
        <w:t xml:space="preserve"> or by </w:t>
      </w:r>
      <w:r>
        <w:rPr>
          <w:b/>
        </w:rPr>
        <w:t>written consent under §228</w:t>
      </w:r>
      <w:r>
        <w:t xml:space="preserve">. This instrument </w:t>
      </w:r>
      <w:r>
        <w:rPr>
          <w:b/>
        </w:rPr>
        <w:t>is</w:t>
      </w:r>
      <w:r>
        <w:t xml:space="preserve"> that sole holder’s consent—the same approvals that could be given at a meeting—without holding a separate stockholder meeting. Counsel should confirm the </w:t>
      </w:r>
      <w:r>
        <w:rPr>
          <w:b/>
        </w:rPr>
        <w:t>certificate of incorporation</w:t>
      </w:r>
      <w:r>
        <w:t xml:space="preserve"> and </w:t>
      </w:r>
      <w:r>
        <w:rPr>
          <w:b/>
        </w:rPr>
        <w:t>bylaws</w:t>
      </w:r>
      <w:r>
        <w:t xml:space="preserve"> permit this path.</w:t>
      </w:r>
    </w:p>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TeamBoost.ai,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11,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Execution (required)</w:t>
      </w:r>
    </w:p>
    <w:p>
      <w:r>
        <w:t xml:space="preserve">This Written Consent is </w:t>
      </w:r>
      <w:r>
        <w:rPr>
          <w:b/>
        </w:rPr>
        <w:t>not</w:t>
      </w:r>
      <w:r>
        <w:t xml:space="preserve"> effective as a corporate record until </w:t>
      </w:r>
      <w:r>
        <w:rPr>
          <w:b/>
        </w:rPr>
        <w:t>signed and dated</w:t>
      </w:r>
      <w:r>
        <w:t xml:space="preserve"> by the </w:t>
      </w:r>
      <w:r>
        <w:rPr>
          <w:b/>
        </w:rPr>
        <w:t>Sole Stockholder</w:t>
      </w:r>
      <w:r>
        <w:t xml:space="preserve"> (or a duly authorized representative, if applicable) and </w:t>
      </w:r>
      <w:r>
        <w:rPr>
          <w:b/>
        </w:rPr>
        <w:t>filed</w:t>
      </w:r>
      <w:r>
        <w:t xml:space="preserve"> with the minutes of the stockholders. The signature and date below satisfy the </w:t>
      </w:r>
      <w:r>
        <w:rPr>
          <w:b/>
        </w:rPr>
        <w:t>dated-signature</w:t>
      </w:r>
      <w:r>
        <w:t xml:space="preserve"> mechanics under the DGCL and the Corporation’s bylaws where applicable.</w:t>
      </w:r>
    </w:p>
    <w:p/>
    <w:p>
      <w:r>
        <w:rPr>
          <w:b/>
        </w:rPr>
        <w:t>Effective Date</w:t>
      </w:r>
    </w:p>
    <w:p>
      <w:r>
        <w:t xml:space="preserve">Upon </w:t>
      </w:r>
      <w:r>
        <w:rPr>
          <w:b/>
        </w:rPr>
        <w:t>execution</w:t>
      </w:r>
      <w:r>
        <w:t xml:space="preserve">, this Written Consent is dated </w:t>
      </w:r>
      <w:r>
        <w:rPr>
          <w:b/>
        </w:rPr>
        <w:t>effective as of December 11, 2025</w:t>
      </w:r>
      <w:r>
        <w:t xml:space="preserve">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11,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