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Ritual Growth, Inc.</w:t>
      </w:r>
    </w:p>
    <w:p>
      <w:r>
        <w:t>*(Board of Directors – Delaware Corporation)*</w:t>
      </w:r>
    </w:p>
    <w:p/>
    <w:p>
      <w:r>
        <w:rPr>
          <w:b/>
        </w:rPr>
        <w:t>Meeting Details</w:t>
      </w:r>
    </w:p>
    <w:p>
      <w:r>
        <w:rPr>
          <w:b/>
        </w:rPr>
        <w:t>Date of Meeting:</w:t>
      </w:r>
      <w:r>
        <w:t xml:space="preserve"> 2024-12-10</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Ritual Growth, Inc. (the “Corporation”) was called to order at 12:00 PM on 2024-12-10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Resolutions:</w:t>
      </w:r>
    </w:p>
    <w:p>
      <w:r>
        <w:t>Upon consideration, the Sole Director adopted the following resolutions:</w:t>
      </w:r>
    </w:p>
    <w:p/>
    <w:p>
      <w:r>
        <w:rPr>
          <w:b/>
        </w:rPr>
        <w:t>Ratification of International Operations</w:t>
      </w:r>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