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2023-12-15</w:t>
      </w:r>
    </w:p>
    <w:p>
      <w:r>
        <w:rPr>
          <w:b/>
        </w:rPr>
        <w:t>Time:</w:t>
      </w:r>
      <w:r>
        <w:t xml:space="preserve"> 1:00 PM</w:t>
      </w:r>
    </w:p>
    <w:p>
      <w:r>
        <w:rPr>
          <w:b/>
        </w:rPr>
        <w:t>Place:</w:t>
      </w:r>
      <w:r>
        <w:t xml:space="preserve"> Thessaloniki, Greece,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2023-12-15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2022-12-15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Wayne, Pennsylvania, USA; Knoxville, TN; Austin, TX; Palo Alto, California; Surrey, Canada; Bepoetry show python-docxlgrade, Serbia; Thessaloniki, Greece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rPr>
          <w:b/>
        </w:rPr>
        <w:t>VI. Discussion Items</w:t>
      </w:r>
    </w:p>
    <w:p>
      <w:r>
        <w:t>The Sole Director discussed the Corporation’s transition plan for 2024,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2023 are hereby approved.</w:t>
      </w:r>
    </w:p>
    <w:p/>
    <w:p>
      <w:r>
        <w:rPr>
          <w:b/>
        </w:rPr>
        <w:t>Approval of 2024 Budget</w:t>
      </w:r>
    </w:p>
    <w:p>
      <w:r>
        <w:t>RESOLVED, that the operating, engineering, and marketing budget for the fiscal year 2024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