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Quarterly Governance Meeting - 2023 Q3</w:t>
      </w:r>
    </w:p>
    <w:p>
      <w:r>
        <w:rPr>
          <w:b/>
        </w:rPr>
        <w:t>Hippo, Inc</w:t>
      </w:r>
    </w:p>
    <w:p>
      <w:r>
        <w:t>*(Board of Directors – Delaware Corporation)*</w:t>
      </w:r>
    </w:p>
    <w:p/>
    <w:p>
      <w:r>
        <w:rPr>
          <w:b/>
        </w:rPr>
        <w:t>Meeting Details</w:t>
      </w:r>
    </w:p>
    <w:p>
      <w:r>
        <w:rPr>
          <w:b/>
        </w:rPr>
        <w:t>Date of Meeting:</w:t>
      </w:r>
      <w:r>
        <w:t xml:space="preserve"> 2023-10-01</w:t>
      </w:r>
    </w:p>
    <w:p>
      <w:r>
        <w:rPr>
          <w:b/>
        </w:rPr>
        <w:t>Time of Meeting:</w:t>
      </w:r>
      <w:r>
        <w:t xml:space="preserve"> 1:00 PM</w:t>
      </w:r>
    </w:p>
    <w:p>
      <w:r>
        <w:rPr>
          <w:b/>
        </w:rPr>
        <w:t>Location of Meeting:</w:t>
      </w:r>
      <w:r>
        <w:t xml:space="preserve"> Knoxville, TN, via digital communication</w:t>
      </w:r>
    </w:p>
    <w:p/>
    <w:p>
      <w:r>
        <w:rPr>
          <w:b/>
        </w:rPr>
        <w:t>I. Call to Order:</w:t>
      </w:r>
    </w:p>
    <w:p>
      <w:r>
        <w:t>The Quarterly Governance Meeting of the Board of Directors of Hippo, Inc (the “Corporation”) was called to order at 1:00 PM on 2023-10-01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III. Business Review:</w:t>
      </w:r>
    </w:p>
    <w:p>
      <w:r>
        <w:t>The Sole Director reviewed quarterly infrastructure stability and confirmed that all assets, including software and related intellectual property, created during the quarter in the development centers located in Bosnia and Herzegovina; Serbia; Tunisia are properly titled to and are the exclusive property of the Corporation.</w:t>
      </w:r>
    </w:p>
    <w:p/>
    <w:p>
      <w:r>
        <w:t>In taking the actions reflected in these minutes, the Sole Director relied in good faith on information, opinions, reports, and statements presented by officers of the Corporation and other persons as to matters the Sole Director reasonably believed were within such persons’ professional or expert competence, as contemplated by Section 141(e) of the Delaware General Corporation Law.</w:t>
      </w:r>
    </w:p>
    <w:p/>
    <w:p/>
    <w:p>
      <w:r>
        <w:rPr>
          <w:b/>
        </w:rPr>
        <w:t>IV. Resolution:</w:t>
      </w:r>
    </w:p>
    <w:p>
      <w:r>
        <w:t>Upon consideration, the Sole Director adopted the following resolution:</w:t>
      </w:r>
    </w:p>
    <w:p/>
    <w:p>
      <w:r>
        <w:t>RESOLVED, that all operational, infrastructure, and intellectual property assets created during the quarter are hereby ratified, confirmed, and approved as assets of the Corporation.</w:t>
      </w:r>
    </w:p>
    <w:p/>
    <w:p>
      <w:r>
        <w:rPr>
          <w:b/>
        </w:rPr>
        <w:t>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2023-10-01</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