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Ritual Growth, Inc.</w:t>
      </w:r>
    </w:p>
    <w:p>
      <w:r>
        <w:rPr>
          <w:b/>
        </w:rPr>
        <w:t>Principal Address:</w:t>
      </w:r>
      <w:r>
        <w:t xml:space="preserve"> 30 N Gould St Ste 27616, Sheridan, WY 82801</w:t>
      </w:r>
    </w:p>
    <w:p>
      <w:r>
        <w:rPr>
          <w:b/>
        </w:rPr>
        <w:t>Date:</w:t>
      </w:r>
      <w:r>
        <w:t xml:space="preserve"> 2022-12-13</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The Annual Meeting of the Board of Directors of Ritual Growth, Inc. (the “Corporation”) was called to order at 1:00 PM on 2022-12-13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This was the first Annual Meeting of the Board of Directors following incorporation of the Corporation in 2022; no prior annual meeting of the Board was held and no prior annual board minutes were presented for approval.</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Sunny Isles, Florida; Wayne, Pennsylvania, USA; Portland, Oregon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4,000,000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2023,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2022 are hereby approved.</w:t>
      </w:r>
    </w:p>
    <w:p/>
    <w:p>
      <w:r>
        <w:rPr>
          <w:b/>
        </w:rPr>
        <w:t>Approval of 2023 Budget</w:t>
      </w:r>
    </w:p>
    <w:p>
      <w:r>
        <w:t>RESOLVED, that the operating, engineering, and marketing budget for the fiscal year 2023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2022-12-13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